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47C" w:rsidRPr="00767E85" w:rsidRDefault="0094647C" w:rsidP="0094647C">
      <w:pPr>
        <w:pStyle w:val="Header"/>
        <w:tabs>
          <w:tab w:val="clear" w:pos="8306"/>
          <w:tab w:val="right" w:pos="7088"/>
          <w:tab w:val="right" w:pos="9781"/>
        </w:tabs>
        <w:rPr>
          <w:rFonts w:ascii="Arial" w:hAnsi="Arial" w:cs="Arial"/>
          <w:b/>
          <w:bCs/>
          <w:color w:val="7F7F7F" w:themeColor="text1" w:themeTint="80"/>
          <w:sz w:val="24"/>
          <w:szCs w:val="24"/>
        </w:rPr>
      </w:pPr>
      <w:r w:rsidRPr="00767E85">
        <w:rPr>
          <w:rFonts w:ascii="Arial" w:hAnsi="Arial" w:cs="Arial"/>
          <w:b/>
          <w:bCs/>
          <w:color w:val="7F7F7F" w:themeColor="text1" w:themeTint="80"/>
          <w:sz w:val="24"/>
          <w:szCs w:val="24"/>
        </w:rPr>
        <w:t>3GPP TSG-RAN #65</w:t>
      </w:r>
      <w:r w:rsidRPr="00767E85">
        <w:rPr>
          <w:rFonts w:ascii="Arial" w:hAnsi="Arial" w:cs="Arial"/>
          <w:b/>
          <w:bCs/>
          <w:color w:val="7F7F7F" w:themeColor="text1" w:themeTint="80"/>
          <w:sz w:val="24"/>
          <w:szCs w:val="24"/>
        </w:rPr>
        <w:tab/>
      </w:r>
      <w:r w:rsidR="00767E85" w:rsidRPr="00767E85">
        <w:rPr>
          <w:rFonts w:ascii="Arial" w:hAnsi="Arial" w:cs="Arial"/>
          <w:b/>
          <w:bCs/>
          <w:color w:val="7F7F7F" w:themeColor="text1" w:themeTint="80"/>
          <w:sz w:val="24"/>
          <w:szCs w:val="24"/>
        </w:rPr>
        <w:t xml:space="preserve">                                     </w:t>
      </w:r>
      <w:r w:rsidRPr="00767E85">
        <w:rPr>
          <w:rFonts w:ascii="Arial" w:hAnsi="Arial" w:cs="Arial"/>
          <w:b/>
          <w:bCs/>
          <w:color w:val="7F7F7F" w:themeColor="text1" w:themeTint="80"/>
          <w:sz w:val="24"/>
          <w:szCs w:val="24"/>
        </w:rPr>
        <w:tab/>
      </w:r>
      <w:r w:rsidR="0016684A">
        <w:rPr>
          <w:rFonts w:ascii="Arial" w:hAnsi="Arial" w:cs="Arial"/>
          <w:b/>
          <w:bCs/>
          <w:color w:val="7F7F7F" w:themeColor="text1" w:themeTint="80"/>
          <w:sz w:val="24"/>
          <w:szCs w:val="24"/>
        </w:rPr>
        <w:t xml:space="preserve">                    </w:t>
      </w:r>
      <w:proofErr w:type="spellStart"/>
      <w:r w:rsidR="00767E85" w:rsidRPr="00767E85">
        <w:rPr>
          <w:rFonts w:ascii="Arial" w:hAnsi="Arial" w:cs="Arial"/>
          <w:b/>
          <w:bCs/>
          <w:color w:val="7F7F7F" w:themeColor="text1" w:themeTint="80"/>
          <w:sz w:val="22"/>
        </w:rPr>
        <w:t>Tdoc</w:t>
      </w:r>
      <w:proofErr w:type="spellEnd"/>
      <w:r w:rsidR="00767E85" w:rsidRPr="00767E85">
        <w:rPr>
          <w:rFonts w:ascii="Arial" w:hAnsi="Arial" w:cs="Arial"/>
          <w:b/>
          <w:bCs/>
          <w:color w:val="7F7F7F" w:themeColor="text1" w:themeTint="80"/>
          <w:sz w:val="22"/>
        </w:rPr>
        <w:t xml:space="preserve"> </w:t>
      </w:r>
      <w:r w:rsidRPr="00767E85">
        <w:rPr>
          <w:rFonts w:ascii="Arial" w:hAnsi="Arial" w:cs="Arial"/>
          <w:b/>
          <w:bCs/>
          <w:color w:val="7F7F7F" w:themeColor="text1" w:themeTint="80"/>
          <w:sz w:val="24"/>
          <w:szCs w:val="24"/>
        </w:rPr>
        <w:t>R4-1266519</w:t>
      </w:r>
    </w:p>
    <w:p w:rsidR="0094647C" w:rsidRPr="00767E85" w:rsidRDefault="0094647C" w:rsidP="0094647C">
      <w:pPr>
        <w:pStyle w:val="Header"/>
        <w:tabs>
          <w:tab w:val="clear" w:pos="8306"/>
          <w:tab w:val="right" w:pos="7088"/>
          <w:tab w:val="right" w:pos="9781"/>
        </w:tabs>
        <w:rPr>
          <w:rFonts w:ascii="Arial" w:hAnsi="Arial" w:cs="Arial"/>
          <w:b/>
          <w:bCs/>
          <w:color w:val="7F7F7F" w:themeColor="text1" w:themeTint="80"/>
          <w:sz w:val="24"/>
          <w:szCs w:val="24"/>
        </w:rPr>
      </w:pPr>
      <w:r w:rsidRPr="00767E85">
        <w:rPr>
          <w:rFonts w:ascii="Arial" w:hAnsi="Arial" w:cs="Arial"/>
          <w:b/>
          <w:bCs/>
          <w:color w:val="7F7F7F" w:themeColor="text1" w:themeTint="80"/>
          <w:sz w:val="24"/>
          <w:szCs w:val="24"/>
        </w:rPr>
        <w:t>New Orleans, USA, 12-16 November 2012</w:t>
      </w:r>
    </w:p>
    <w:p w:rsidR="0094647C" w:rsidRDefault="0094647C" w:rsidP="007F6CDA">
      <w:pPr>
        <w:tabs>
          <w:tab w:val="left" w:pos="567"/>
        </w:tabs>
        <w:snapToGrid w:val="0"/>
        <w:rPr>
          <w:rFonts w:ascii="Arial" w:hAnsi="Arial" w:cs="Arial"/>
          <w:b/>
          <w:sz w:val="28"/>
          <w:szCs w:val="28"/>
        </w:rPr>
      </w:pPr>
    </w:p>
    <w:p w:rsidR="00767E85" w:rsidRPr="0014322B" w:rsidRDefault="00767E85" w:rsidP="00767E85">
      <w:pPr>
        <w:spacing w:after="60"/>
        <w:ind w:left="1985" w:hanging="1985"/>
        <w:rPr>
          <w:rFonts w:ascii="Arial" w:hAnsi="Arial" w:cs="Arial"/>
          <w:bCs/>
        </w:rPr>
      </w:pPr>
      <w:r w:rsidRPr="0014322B">
        <w:rPr>
          <w:rFonts w:ascii="Arial" w:hAnsi="Arial" w:cs="Arial"/>
          <w:b/>
        </w:rPr>
        <w:t>Title</w:t>
      </w:r>
      <w:r w:rsidRPr="0014322B">
        <w:rPr>
          <w:rFonts w:ascii="Arial" w:hAnsi="Arial" w:cs="Arial"/>
        </w:rPr>
        <w:tab/>
        <w:t>[</w:t>
      </w:r>
      <w:r w:rsidRPr="0014322B">
        <w:rPr>
          <w:rFonts w:ascii="Arial" w:hAnsi="Arial" w:cs="Arial"/>
          <w:bCs/>
        </w:rPr>
        <w:t xml:space="preserve">DRAFT] </w:t>
      </w:r>
      <w:r w:rsidRPr="0014322B">
        <w:rPr>
          <w:rFonts w:ascii="Arial" w:hAnsi="Arial" w:cs="Arial"/>
          <w:bCs/>
        </w:rPr>
        <w:tab/>
        <w:t xml:space="preserve">Letter to ITU-R WP 5D on Preliminary Draft New Report on THE USES OF IMT FOR BROADBAND PPDR APPLICATIONS </w:t>
      </w:r>
    </w:p>
    <w:p w:rsidR="00767E85" w:rsidRPr="0014322B" w:rsidRDefault="00767E85" w:rsidP="00767E85">
      <w:pPr>
        <w:spacing w:after="60"/>
        <w:ind w:left="1985" w:hanging="1985"/>
        <w:rPr>
          <w:rFonts w:ascii="Arial" w:hAnsi="Arial" w:cs="Arial"/>
          <w:bCs/>
        </w:rPr>
      </w:pPr>
    </w:p>
    <w:p w:rsidR="00767E85" w:rsidRPr="0014322B" w:rsidRDefault="00767E85" w:rsidP="00767E85">
      <w:pPr>
        <w:spacing w:after="60"/>
        <w:ind w:left="1985" w:hanging="1985"/>
        <w:rPr>
          <w:rFonts w:ascii="Arial" w:hAnsi="Arial" w:cs="Arial"/>
          <w:bCs/>
        </w:rPr>
      </w:pPr>
      <w:r w:rsidRPr="0014322B">
        <w:rPr>
          <w:rFonts w:ascii="Arial" w:hAnsi="Arial" w:cs="Arial"/>
          <w:b/>
        </w:rPr>
        <w:t xml:space="preserve">Response to:  </w:t>
      </w:r>
      <w:r w:rsidRPr="0014322B">
        <w:rPr>
          <w:rFonts w:ascii="Arial" w:hAnsi="Arial" w:cs="Arial"/>
        </w:rPr>
        <w:t xml:space="preserve"> </w:t>
      </w:r>
      <w:r w:rsidRPr="0014322B">
        <w:rPr>
          <w:rFonts w:ascii="Arial" w:hAnsi="Arial" w:cs="Arial"/>
        </w:rPr>
        <w:tab/>
        <w:t xml:space="preserve">LS (R4-1246746] on Invitation to input material for development of Working document towards a Preliminary Draft New Report on THE USE OF IMT FOR BROADBAND PPDE APPLICATIONS </w:t>
      </w:r>
    </w:p>
    <w:p w:rsidR="00767E85" w:rsidRPr="0014322B" w:rsidRDefault="00767E85" w:rsidP="00767E85">
      <w:pPr>
        <w:spacing w:after="60"/>
        <w:rPr>
          <w:rFonts w:ascii="Arial" w:hAnsi="Arial" w:cs="Arial"/>
          <w:b/>
        </w:rPr>
      </w:pPr>
    </w:p>
    <w:p w:rsidR="00767E85" w:rsidRPr="0014322B" w:rsidRDefault="00767E85" w:rsidP="00767E85">
      <w:pPr>
        <w:spacing w:after="60"/>
        <w:ind w:left="1985" w:hanging="1985"/>
        <w:rPr>
          <w:rFonts w:ascii="Arial" w:hAnsi="Arial" w:cs="Arial"/>
          <w:bCs/>
        </w:rPr>
      </w:pPr>
      <w:r w:rsidRPr="0014322B">
        <w:rPr>
          <w:rFonts w:ascii="Arial" w:hAnsi="Arial" w:cs="Arial"/>
          <w:b/>
        </w:rPr>
        <w:t>Source:</w:t>
      </w:r>
      <w:r w:rsidRPr="0014322B">
        <w:rPr>
          <w:rFonts w:ascii="Arial" w:hAnsi="Arial" w:cs="Arial"/>
          <w:bCs/>
          <w:color w:val="FF0000"/>
        </w:rPr>
        <w:tab/>
      </w:r>
      <w:r w:rsidR="0016684A" w:rsidRPr="0016684A">
        <w:rPr>
          <w:rFonts w:ascii="Arial" w:hAnsi="Arial" w:cs="Arial"/>
          <w:bCs/>
        </w:rPr>
        <w:t>[</w:t>
      </w:r>
      <w:r w:rsidRPr="0016684A">
        <w:rPr>
          <w:rFonts w:ascii="Arial" w:hAnsi="Arial" w:cs="Arial"/>
          <w:bCs/>
        </w:rPr>
        <w:t>3GPP RAN4</w:t>
      </w:r>
      <w:r w:rsidR="0016684A" w:rsidRPr="0016684A">
        <w:rPr>
          <w:rFonts w:ascii="Arial" w:hAnsi="Arial" w:cs="Arial"/>
          <w:bCs/>
        </w:rPr>
        <w:t>]</w:t>
      </w:r>
    </w:p>
    <w:p w:rsidR="00767E85" w:rsidRPr="0014322B" w:rsidRDefault="00767E85" w:rsidP="00767E85">
      <w:pPr>
        <w:spacing w:after="60"/>
        <w:ind w:left="1985" w:hanging="1985"/>
        <w:rPr>
          <w:rFonts w:ascii="Arial" w:hAnsi="Arial" w:cs="Arial"/>
          <w:bCs/>
        </w:rPr>
      </w:pPr>
      <w:r w:rsidRPr="0014322B">
        <w:rPr>
          <w:rFonts w:ascii="Arial" w:hAnsi="Arial" w:cs="Arial"/>
          <w:b/>
        </w:rPr>
        <w:t>To:</w:t>
      </w:r>
      <w:r w:rsidRPr="0014322B">
        <w:rPr>
          <w:rFonts w:ascii="Arial" w:hAnsi="Arial" w:cs="Arial"/>
          <w:bCs/>
        </w:rPr>
        <w:tab/>
        <w:t>ITU-R W5D</w:t>
      </w:r>
    </w:p>
    <w:p w:rsidR="00767E85" w:rsidRPr="0014322B" w:rsidRDefault="00767E85" w:rsidP="00767E85">
      <w:pPr>
        <w:spacing w:after="60"/>
        <w:ind w:left="1985" w:hanging="1985"/>
        <w:rPr>
          <w:rFonts w:ascii="Arial" w:hAnsi="Arial" w:cs="Arial"/>
          <w:bCs/>
        </w:rPr>
      </w:pPr>
      <w:r w:rsidRPr="0014322B">
        <w:rPr>
          <w:rFonts w:ascii="Arial" w:hAnsi="Arial" w:cs="Arial"/>
          <w:b/>
        </w:rPr>
        <w:t>Cc:</w:t>
      </w:r>
      <w:r w:rsidRPr="0014322B">
        <w:rPr>
          <w:rFonts w:ascii="Arial" w:hAnsi="Arial" w:cs="Arial"/>
          <w:bCs/>
        </w:rPr>
        <w:tab/>
      </w:r>
    </w:p>
    <w:p w:rsidR="00767E85" w:rsidRPr="0014322B" w:rsidRDefault="00767E85" w:rsidP="00767E85">
      <w:pPr>
        <w:spacing w:after="60"/>
        <w:ind w:left="1985" w:hanging="1985"/>
        <w:rPr>
          <w:rFonts w:ascii="Arial" w:hAnsi="Arial" w:cs="Arial"/>
          <w:bCs/>
        </w:rPr>
      </w:pPr>
    </w:p>
    <w:p w:rsidR="00767E85" w:rsidRPr="0014322B" w:rsidRDefault="00767E85" w:rsidP="00767E85">
      <w:pPr>
        <w:tabs>
          <w:tab w:val="left" w:pos="2268"/>
        </w:tabs>
        <w:rPr>
          <w:rFonts w:ascii="Arial" w:hAnsi="Arial" w:cs="Arial"/>
          <w:bCs/>
        </w:rPr>
      </w:pPr>
      <w:r w:rsidRPr="0014322B">
        <w:rPr>
          <w:rFonts w:ascii="Arial" w:hAnsi="Arial" w:cs="Arial"/>
          <w:b/>
        </w:rPr>
        <w:t>Contact Person:</w:t>
      </w:r>
    </w:p>
    <w:p w:rsidR="00767E85" w:rsidRPr="0014322B" w:rsidRDefault="00767E85" w:rsidP="00767E85">
      <w:pPr>
        <w:pStyle w:val="Heading4"/>
        <w:tabs>
          <w:tab w:val="left" w:pos="2268"/>
        </w:tabs>
        <w:ind w:left="567"/>
        <w:rPr>
          <w:rFonts w:cs="Arial"/>
          <w:b w:val="0"/>
          <w:bCs/>
          <w:lang w:val="it-IT"/>
        </w:rPr>
      </w:pPr>
      <w:r w:rsidRPr="0014322B">
        <w:rPr>
          <w:rFonts w:cs="Arial"/>
          <w:lang w:val="it-IT"/>
        </w:rPr>
        <w:t>Name:</w:t>
      </w:r>
      <w:r w:rsidRPr="0014322B">
        <w:rPr>
          <w:rFonts w:cs="Arial"/>
          <w:b w:val="0"/>
          <w:bCs/>
          <w:lang w:val="it-IT"/>
        </w:rPr>
        <w:tab/>
      </w:r>
      <w:r w:rsidRPr="0014322B">
        <w:rPr>
          <w:rFonts w:cs="Arial"/>
          <w:b w:val="0"/>
          <w:bCs/>
        </w:rPr>
        <w:t>Edgar FERNANDES</w:t>
      </w:r>
    </w:p>
    <w:p w:rsidR="00767E85" w:rsidRPr="0014322B" w:rsidRDefault="00767E85" w:rsidP="00767E85">
      <w:pPr>
        <w:tabs>
          <w:tab w:val="left" w:pos="2268"/>
          <w:tab w:val="left" w:pos="2694"/>
        </w:tabs>
        <w:ind w:left="567"/>
        <w:rPr>
          <w:rFonts w:ascii="Arial" w:hAnsi="Arial" w:cs="Arial"/>
          <w:bCs/>
          <w:lang w:val="it-IT"/>
        </w:rPr>
      </w:pPr>
      <w:r w:rsidRPr="0014322B">
        <w:rPr>
          <w:rFonts w:ascii="Arial" w:hAnsi="Arial" w:cs="Arial"/>
          <w:b/>
          <w:lang w:val="it-IT"/>
        </w:rPr>
        <w:t>Tel. Number:</w:t>
      </w:r>
      <w:r w:rsidRPr="0014322B">
        <w:rPr>
          <w:rFonts w:ascii="Arial" w:hAnsi="Arial" w:cs="Arial"/>
          <w:bCs/>
          <w:lang w:val="it-IT"/>
        </w:rPr>
        <w:tab/>
      </w:r>
      <w:r w:rsidRPr="0014322B">
        <w:rPr>
          <w:rFonts w:ascii="Arial" w:hAnsi="Arial" w:cs="Arial"/>
          <w:bCs/>
        </w:rPr>
        <w:t>+447785245205</w:t>
      </w:r>
    </w:p>
    <w:p w:rsidR="00767E85" w:rsidRPr="0014322B" w:rsidRDefault="00767E85" w:rsidP="00767E85">
      <w:pPr>
        <w:pStyle w:val="Heading7"/>
        <w:tabs>
          <w:tab w:val="left" w:pos="2268"/>
        </w:tabs>
        <w:ind w:left="567"/>
        <w:rPr>
          <w:rFonts w:cs="Arial"/>
          <w:b w:val="0"/>
          <w:bCs/>
          <w:lang w:val="it-IT"/>
        </w:rPr>
      </w:pPr>
      <w:r w:rsidRPr="0014322B">
        <w:rPr>
          <w:rFonts w:cs="Arial"/>
          <w:color w:val="auto"/>
          <w:lang w:val="it-IT"/>
        </w:rPr>
        <w:t>E-mail Address:</w:t>
      </w:r>
      <w:r w:rsidRPr="0014322B">
        <w:rPr>
          <w:rFonts w:cs="Arial"/>
          <w:b w:val="0"/>
          <w:bCs/>
          <w:color w:val="auto"/>
          <w:lang w:val="it-IT"/>
        </w:rPr>
        <w:tab/>
      </w:r>
      <w:hyperlink r:id="rId7" w:history="1">
        <w:r w:rsidR="0014322B" w:rsidRPr="0014322B">
          <w:rPr>
            <w:rStyle w:val="Hyperlink"/>
            <w:rFonts w:cs="Arial"/>
            <w:b w:val="0"/>
            <w:bCs/>
            <w:lang w:val="it-IT"/>
          </w:rPr>
          <w:t>edgar.fernandes@motorolasolutions.com</w:t>
        </w:r>
      </w:hyperlink>
    </w:p>
    <w:p w:rsidR="0014322B" w:rsidRPr="001421BA" w:rsidRDefault="0014322B" w:rsidP="0014322B">
      <w:pPr>
        <w:spacing w:after="60"/>
        <w:ind w:left="1985" w:hanging="1985"/>
        <w:rPr>
          <w:rFonts w:ascii="Arial" w:hAnsi="Arial" w:cs="Arial"/>
          <w:b/>
          <w:lang w:val="it-IT"/>
        </w:rPr>
      </w:pPr>
    </w:p>
    <w:p w:rsidR="0014322B" w:rsidRPr="0014322B" w:rsidRDefault="0014322B" w:rsidP="0014322B">
      <w:pPr>
        <w:spacing w:after="60"/>
        <w:ind w:left="1985" w:hanging="1985"/>
        <w:rPr>
          <w:rFonts w:ascii="Arial" w:hAnsi="Arial" w:cs="Arial"/>
        </w:rPr>
      </w:pPr>
      <w:r w:rsidRPr="00F21985">
        <w:rPr>
          <w:rFonts w:ascii="Arial" w:hAnsi="Arial" w:cs="Arial"/>
          <w:b/>
        </w:rPr>
        <w:t>This ITU input will become part of ITU deliverable(s):</w:t>
      </w:r>
      <w:r>
        <w:rPr>
          <w:rFonts w:ascii="Arial" w:hAnsi="Arial" w:cs="Arial"/>
          <w:b/>
        </w:rPr>
        <w:tab/>
      </w:r>
      <w:r>
        <w:rPr>
          <w:rFonts w:ascii="Arial" w:hAnsi="Arial" w:cs="Arial"/>
          <w:b/>
        </w:rPr>
        <w:tab/>
      </w:r>
      <w:r w:rsidRPr="0014322B">
        <w:rPr>
          <w:rFonts w:ascii="Arial" w:hAnsi="Arial" w:cs="Arial"/>
        </w:rPr>
        <w:t>Yes</w:t>
      </w:r>
    </w:p>
    <w:p w:rsidR="0014322B" w:rsidRPr="0014322B" w:rsidRDefault="0014322B" w:rsidP="0014322B">
      <w:pPr>
        <w:spacing w:after="60"/>
        <w:ind w:left="1985" w:hanging="1985"/>
        <w:rPr>
          <w:rFonts w:ascii="Arial" w:hAnsi="Arial" w:cs="Arial"/>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sidRPr="0014322B">
        <w:rPr>
          <w:rFonts w:ascii="Arial" w:hAnsi="Arial" w:cs="Arial"/>
        </w:rPr>
        <w:t>RAN /</w:t>
      </w:r>
      <w:r>
        <w:rPr>
          <w:rFonts w:ascii="Arial" w:hAnsi="Arial" w:cs="Arial"/>
        </w:rPr>
        <w:t xml:space="preserve"> </w:t>
      </w:r>
      <w:r w:rsidRPr="0014322B">
        <w:rPr>
          <w:rFonts w:ascii="Arial" w:hAnsi="Arial" w:cs="Arial"/>
        </w:rPr>
        <w:t>SA</w:t>
      </w:r>
    </w:p>
    <w:p w:rsidR="0014322B" w:rsidRPr="0014322B" w:rsidRDefault="0014322B" w:rsidP="0014322B">
      <w:pPr>
        <w:spacing w:after="60"/>
        <w:ind w:left="1985" w:hanging="1985"/>
        <w:rPr>
          <w:rFonts w:ascii="Arial" w:hAnsi="Arial" w:cs="Arial"/>
        </w:rPr>
      </w:pPr>
      <w:r>
        <w:rPr>
          <w:rFonts w:ascii="Arial" w:hAnsi="Arial" w:cs="Arial"/>
          <w:b/>
        </w:rPr>
        <w:t>D</w:t>
      </w:r>
      <w:r w:rsidRPr="00F21985">
        <w:rPr>
          <w:rFonts w:ascii="Arial" w:hAnsi="Arial" w:cs="Arial"/>
          <w:b/>
        </w:rPr>
        <w:t>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14322B">
        <w:rPr>
          <w:rFonts w:ascii="Arial" w:hAnsi="Arial" w:cs="Arial"/>
        </w:rPr>
        <w:t>23 January 2013 (16:00 hours UTC)</w:t>
      </w:r>
    </w:p>
    <w:p w:rsidR="00767E85" w:rsidRDefault="00767E85" w:rsidP="0014322B">
      <w:pPr>
        <w:spacing w:after="60"/>
        <w:rPr>
          <w:rFonts w:ascii="Arial" w:hAnsi="Arial" w:cs="Arial"/>
          <w:b/>
        </w:rPr>
      </w:pPr>
    </w:p>
    <w:p w:rsidR="00767E85" w:rsidRPr="00326D3E" w:rsidRDefault="00767E85" w:rsidP="00767E85">
      <w:pPr>
        <w:spacing w:after="60"/>
        <w:ind w:left="1985" w:hanging="1985"/>
        <w:rPr>
          <w:rFonts w:ascii="Arial" w:hAnsi="Arial" w:cs="Arial"/>
          <w:b/>
        </w:rPr>
      </w:pPr>
      <w:r w:rsidRPr="00326D3E">
        <w:rPr>
          <w:rFonts w:ascii="Arial" w:hAnsi="Arial" w:cs="Arial"/>
          <w:b/>
        </w:rPr>
        <w:t>For review:</w:t>
      </w:r>
      <w:r w:rsidRPr="00326D3E">
        <w:rPr>
          <w:rFonts w:ascii="Arial" w:hAnsi="Arial" w:cs="Arial"/>
          <w:b/>
        </w:rPr>
        <w:tab/>
      </w:r>
    </w:p>
    <w:p w:rsidR="00BF589A" w:rsidRDefault="0016684A" w:rsidP="00767E85">
      <w:pPr>
        <w:rPr>
          <w:rFonts w:ascii="Arial" w:eastAsia="MS Mincho" w:hAnsi="Arial" w:cs="Arial"/>
          <w:lang w:eastAsia="ja-JP"/>
        </w:rPr>
      </w:pPr>
      <w:r w:rsidRPr="00326D3E">
        <w:rPr>
          <w:rFonts w:ascii="Arial" w:eastAsia="MS Mincho" w:hAnsi="Arial" w:cs="Arial"/>
          <w:b/>
          <w:bCs/>
          <w:lang w:eastAsia="ja-JP"/>
        </w:rPr>
        <w:t>In</w:t>
      </w:r>
      <w:r w:rsidR="00767E85" w:rsidRPr="00326D3E">
        <w:rPr>
          <w:rFonts w:ascii="Arial" w:eastAsia="MS Mincho" w:hAnsi="Arial" w:cs="Arial"/>
          <w:b/>
          <w:bCs/>
          <w:lang w:eastAsia="ja-JP"/>
        </w:rPr>
        <w:t xml:space="preserve">: </w:t>
      </w:r>
      <w:r w:rsidR="00767E85" w:rsidRPr="00326D3E">
        <w:rPr>
          <w:rFonts w:ascii="Arial" w:eastAsia="MS Mincho" w:hAnsi="Arial" w:cs="Arial"/>
          <w:lang w:eastAsia="ja-JP"/>
        </w:rPr>
        <w:t>RAN</w:t>
      </w:r>
      <w:r w:rsidR="00D11DE2">
        <w:rPr>
          <w:rFonts w:ascii="Arial" w:eastAsia="MS Mincho" w:hAnsi="Arial" w:cs="Arial"/>
          <w:lang w:eastAsia="ja-JP"/>
        </w:rPr>
        <w:t>4</w:t>
      </w:r>
      <w:r w:rsidR="0014322B" w:rsidRPr="00326D3E">
        <w:rPr>
          <w:rFonts w:ascii="Arial" w:eastAsia="MS Mincho" w:hAnsi="Arial" w:cs="Arial"/>
          <w:lang w:eastAsia="ja-JP"/>
        </w:rPr>
        <w:tab/>
      </w:r>
      <w:r w:rsidR="00767E85" w:rsidRPr="00326D3E">
        <w:rPr>
          <w:rFonts w:ascii="Arial" w:eastAsia="MS Mincho" w:hAnsi="Arial" w:cs="Arial"/>
          <w:lang w:eastAsia="ja-JP"/>
        </w:rPr>
        <w:t>&gt;</w:t>
      </w:r>
      <w:r w:rsidR="00767E85" w:rsidRPr="00326D3E">
        <w:rPr>
          <w:rFonts w:ascii="Arial" w:eastAsia="MS Mincho" w:hAnsi="Arial" w:cs="Arial"/>
          <w:b/>
          <w:bCs/>
          <w:lang w:eastAsia="ja-JP"/>
        </w:rPr>
        <w:tab/>
        <w:t>feedback LS before:</w:t>
      </w:r>
      <w:r w:rsidR="00767E85" w:rsidRPr="00326D3E">
        <w:rPr>
          <w:rFonts w:ascii="Arial" w:eastAsia="MS Mincho" w:hAnsi="Arial" w:cs="Arial"/>
          <w:b/>
          <w:bCs/>
          <w:lang w:eastAsia="ja-JP"/>
        </w:rPr>
        <w:tab/>
      </w:r>
      <w:r w:rsidR="00767E85" w:rsidRPr="00326D3E">
        <w:rPr>
          <w:rFonts w:ascii="Arial" w:eastAsia="MS Mincho" w:hAnsi="Arial" w:cs="Arial"/>
          <w:lang w:eastAsia="ja-JP"/>
        </w:rPr>
        <w:t>&lt;</w:t>
      </w:r>
      <w:r w:rsidR="00D11DE2">
        <w:rPr>
          <w:rFonts w:ascii="Arial" w:eastAsia="MS Mincho" w:hAnsi="Arial" w:cs="Arial"/>
          <w:lang w:eastAsia="ja-JP"/>
        </w:rPr>
        <w:t>23</w:t>
      </w:r>
      <w:r w:rsidR="00D11DE2" w:rsidRPr="00D11DE2">
        <w:rPr>
          <w:rFonts w:ascii="Arial" w:eastAsia="MS Mincho" w:hAnsi="Arial" w:cs="Arial"/>
          <w:vertAlign w:val="superscript"/>
          <w:lang w:eastAsia="ja-JP"/>
        </w:rPr>
        <w:t>rd</w:t>
      </w:r>
      <w:r w:rsidR="00D11DE2">
        <w:rPr>
          <w:rFonts w:ascii="Arial" w:eastAsia="MS Mincho" w:hAnsi="Arial" w:cs="Arial"/>
          <w:lang w:eastAsia="ja-JP"/>
        </w:rPr>
        <w:t xml:space="preserve"> November</w:t>
      </w:r>
      <w:r w:rsidR="00767E85" w:rsidRPr="00326D3E">
        <w:rPr>
          <w:rFonts w:ascii="Arial" w:eastAsia="MS Mincho" w:hAnsi="Arial" w:cs="Arial"/>
          <w:lang w:eastAsia="ja-JP"/>
        </w:rPr>
        <w:t>&gt;</w:t>
      </w:r>
      <w:r w:rsidR="00767E85" w:rsidRPr="00326D3E">
        <w:rPr>
          <w:rFonts w:ascii="Arial" w:eastAsia="MS Mincho" w:hAnsi="Arial" w:cs="Arial"/>
          <w:b/>
          <w:bCs/>
          <w:lang w:eastAsia="ja-JP"/>
        </w:rPr>
        <w:tab/>
        <w:t>to:</w:t>
      </w:r>
      <w:r w:rsidR="00767E85" w:rsidRPr="00326D3E">
        <w:rPr>
          <w:rFonts w:ascii="Arial" w:eastAsia="MS Mincho" w:hAnsi="Arial" w:cs="Arial"/>
          <w:lang w:eastAsia="ja-JP"/>
        </w:rPr>
        <w:t xml:space="preserve"> </w:t>
      </w:r>
      <w:r w:rsidR="00BF589A">
        <w:rPr>
          <w:rFonts w:ascii="Arial" w:eastAsia="MS Mincho" w:hAnsi="Arial" w:cs="Arial"/>
          <w:lang w:eastAsia="ja-JP"/>
        </w:rPr>
        <w:t xml:space="preserve">RAN4 </w:t>
      </w:r>
      <w:r w:rsidR="00767E85" w:rsidRPr="00326D3E">
        <w:rPr>
          <w:rFonts w:ascii="Arial" w:eastAsia="MS Mincho" w:hAnsi="Arial" w:cs="Arial"/>
          <w:lang w:eastAsia="ja-JP"/>
        </w:rPr>
        <w:tab/>
      </w:r>
      <w:r w:rsidR="00767E85" w:rsidRPr="00326D3E">
        <w:rPr>
          <w:rFonts w:ascii="Arial" w:eastAsia="MS Mincho" w:hAnsi="Arial" w:cs="Arial"/>
          <w:b/>
          <w:lang w:eastAsia="ja-JP"/>
        </w:rPr>
        <w:t>cc:</w:t>
      </w:r>
    </w:p>
    <w:p w:rsidR="00BF589A" w:rsidRDefault="00BF589A" w:rsidP="00767E85">
      <w:pPr>
        <w:rPr>
          <w:rFonts w:ascii="Arial" w:eastAsia="MS Mincho" w:hAnsi="Arial" w:cs="Arial"/>
          <w:lang w:eastAsia="ja-JP"/>
        </w:rPr>
      </w:pPr>
      <w:r w:rsidRPr="00326D3E">
        <w:rPr>
          <w:rFonts w:ascii="Arial" w:eastAsia="MS Mincho" w:hAnsi="Arial" w:cs="Arial"/>
          <w:b/>
          <w:bCs/>
          <w:lang w:eastAsia="ja-JP"/>
        </w:rPr>
        <w:t xml:space="preserve"> </w:t>
      </w:r>
      <w:r w:rsidR="00D11DE2" w:rsidRPr="00326D3E">
        <w:rPr>
          <w:rFonts w:ascii="Arial" w:eastAsia="MS Mincho" w:hAnsi="Arial" w:cs="Arial"/>
          <w:b/>
          <w:bCs/>
          <w:lang w:eastAsia="ja-JP"/>
        </w:rPr>
        <w:t xml:space="preserve">In: </w:t>
      </w:r>
      <w:r w:rsidR="00D11DE2" w:rsidRPr="00326D3E">
        <w:rPr>
          <w:rFonts w:ascii="Arial" w:eastAsia="MS Mincho" w:hAnsi="Arial" w:cs="Arial"/>
          <w:lang w:eastAsia="ja-JP"/>
        </w:rPr>
        <w:t>RAN</w:t>
      </w:r>
      <w:r w:rsidR="00D11DE2" w:rsidRPr="00326D3E">
        <w:rPr>
          <w:rFonts w:ascii="Arial" w:eastAsia="MS Mincho" w:hAnsi="Arial" w:cs="Arial"/>
          <w:lang w:eastAsia="ja-JP"/>
        </w:rPr>
        <w:tab/>
        <w:t>&gt;</w:t>
      </w:r>
      <w:r w:rsidR="00D11DE2" w:rsidRPr="00326D3E">
        <w:rPr>
          <w:rFonts w:ascii="Arial" w:eastAsia="MS Mincho" w:hAnsi="Arial" w:cs="Arial"/>
          <w:b/>
          <w:bCs/>
          <w:lang w:eastAsia="ja-JP"/>
        </w:rPr>
        <w:tab/>
        <w:t>feedback LS before:</w:t>
      </w:r>
      <w:r w:rsidR="00D11DE2" w:rsidRPr="00326D3E">
        <w:rPr>
          <w:rFonts w:ascii="Arial" w:eastAsia="MS Mincho" w:hAnsi="Arial" w:cs="Arial"/>
          <w:b/>
          <w:bCs/>
          <w:lang w:eastAsia="ja-JP"/>
        </w:rPr>
        <w:tab/>
      </w:r>
      <w:r w:rsidR="00D11DE2" w:rsidRPr="00326D3E">
        <w:rPr>
          <w:rFonts w:ascii="Arial" w:eastAsia="MS Mincho" w:hAnsi="Arial" w:cs="Arial"/>
          <w:lang w:eastAsia="ja-JP"/>
        </w:rPr>
        <w:t>&lt;date&gt;</w:t>
      </w:r>
      <w:r w:rsidR="00D11DE2" w:rsidRPr="00326D3E">
        <w:rPr>
          <w:rFonts w:ascii="Arial" w:eastAsia="MS Mincho" w:hAnsi="Arial" w:cs="Arial"/>
          <w:b/>
          <w:bCs/>
          <w:lang w:eastAsia="ja-JP"/>
        </w:rPr>
        <w:tab/>
        <w:t>to:</w:t>
      </w:r>
      <w:r w:rsidR="00D11DE2" w:rsidRPr="00326D3E">
        <w:rPr>
          <w:rFonts w:ascii="Arial" w:eastAsia="MS Mincho" w:hAnsi="Arial" w:cs="Arial"/>
          <w:lang w:eastAsia="ja-JP"/>
        </w:rPr>
        <w:t xml:space="preserve"> &lt;3GPP group(s)&gt;</w:t>
      </w:r>
      <w:r w:rsidR="00D11DE2" w:rsidRPr="00326D3E">
        <w:rPr>
          <w:rFonts w:ascii="Arial" w:eastAsia="MS Mincho" w:hAnsi="Arial" w:cs="Arial"/>
          <w:lang w:eastAsia="ja-JP"/>
        </w:rPr>
        <w:tab/>
      </w:r>
      <w:r w:rsidR="00D11DE2" w:rsidRPr="00326D3E">
        <w:rPr>
          <w:rFonts w:ascii="Arial" w:eastAsia="MS Mincho" w:hAnsi="Arial" w:cs="Arial"/>
          <w:b/>
          <w:lang w:eastAsia="ja-JP"/>
        </w:rPr>
        <w:t>cc:</w:t>
      </w:r>
      <w:r w:rsidR="00D11DE2" w:rsidRPr="00326D3E">
        <w:rPr>
          <w:rFonts w:ascii="Arial" w:eastAsia="MS Mincho" w:hAnsi="Arial" w:cs="Arial"/>
          <w:lang w:eastAsia="ja-JP"/>
        </w:rPr>
        <w:t xml:space="preserve"> </w:t>
      </w:r>
    </w:p>
    <w:p w:rsidR="00767E85" w:rsidRPr="00326D3E" w:rsidRDefault="0016684A" w:rsidP="00767E85">
      <w:pPr>
        <w:rPr>
          <w:rFonts w:ascii="Arial" w:eastAsia="MS Mincho" w:hAnsi="Arial" w:cs="Arial"/>
          <w:lang w:eastAsia="ja-JP"/>
        </w:rPr>
      </w:pPr>
      <w:r w:rsidRPr="00326D3E">
        <w:rPr>
          <w:rFonts w:ascii="Arial" w:eastAsia="MS Mincho" w:hAnsi="Arial" w:cs="Arial"/>
          <w:b/>
          <w:bCs/>
          <w:lang w:eastAsia="ja-JP"/>
        </w:rPr>
        <w:t>In</w:t>
      </w:r>
      <w:r w:rsidR="00767E85" w:rsidRPr="00326D3E">
        <w:rPr>
          <w:rFonts w:ascii="Arial" w:eastAsia="MS Mincho" w:hAnsi="Arial" w:cs="Arial"/>
          <w:b/>
          <w:bCs/>
          <w:lang w:eastAsia="ja-JP"/>
        </w:rPr>
        <w:t xml:space="preserve">: </w:t>
      </w:r>
      <w:r w:rsidR="00767E85" w:rsidRPr="00326D3E">
        <w:rPr>
          <w:rFonts w:ascii="Arial" w:eastAsia="MS Mincho" w:hAnsi="Arial" w:cs="Arial"/>
          <w:lang w:eastAsia="ja-JP"/>
        </w:rPr>
        <w:t xml:space="preserve">SA </w:t>
      </w:r>
      <w:r w:rsidR="0014322B" w:rsidRPr="00326D3E">
        <w:rPr>
          <w:rFonts w:ascii="Arial" w:eastAsia="MS Mincho" w:hAnsi="Arial" w:cs="Arial"/>
          <w:lang w:eastAsia="ja-JP"/>
        </w:rPr>
        <w:tab/>
      </w:r>
      <w:r w:rsidR="00767E85" w:rsidRPr="00326D3E">
        <w:rPr>
          <w:rFonts w:ascii="Arial" w:eastAsia="MS Mincho" w:hAnsi="Arial" w:cs="Arial"/>
          <w:lang w:eastAsia="ja-JP"/>
        </w:rPr>
        <w:t>&gt;</w:t>
      </w:r>
      <w:r w:rsidR="00767E85" w:rsidRPr="00326D3E">
        <w:rPr>
          <w:rFonts w:ascii="Arial" w:eastAsia="MS Mincho" w:hAnsi="Arial" w:cs="Arial"/>
          <w:b/>
          <w:bCs/>
          <w:lang w:eastAsia="ja-JP"/>
        </w:rPr>
        <w:tab/>
        <w:t>feedback LS before:</w:t>
      </w:r>
      <w:r w:rsidR="00767E85" w:rsidRPr="00326D3E">
        <w:rPr>
          <w:rFonts w:ascii="Arial" w:eastAsia="MS Mincho" w:hAnsi="Arial" w:cs="Arial"/>
          <w:b/>
          <w:bCs/>
          <w:lang w:eastAsia="ja-JP"/>
        </w:rPr>
        <w:tab/>
      </w:r>
      <w:r w:rsidR="00767E85" w:rsidRPr="00326D3E">
        <w:rPr>
          <w:rFonts w:ascii="Arial" w:eastAsia="MS Mincho" w:hAnsi="Arial" w:cs="Arial"/>
          <w:lang w:eastAsia="ja-JP"/>
        </w:rPr>
        <w:t>&lt;date&gt;</w:t>
      </w:r>
      <w:r w:rsidR="00767E85" w:rsidRPr="00326D3E">
        <w:rPr>
          <w:rFonts w:ascii="Arial" w:eastAsia="MS Mincho" w:hAnsi="Arial" w:cs="Arial"/>
          <w:b/>
          <w:bCs/>
          <w:lang w:eastAsia="ja-JP"/>
        </w:rPr>
        <w:tab/>
        <w:t>to:</w:t>
      </w:r>
      <w:r w:rsidR="00767E85" w:rsidRPr="00326D3E">
        <w:rPr>
          <w:rFonts w:ascii="Arial" w:eastAsia="MS Mincho" w:hAnsi="Arial" w:cs="Arial"/>
          <w:lang w:eastAsia="ja-JP"/>
        </w:rPr>
        <w:t xml:space="preserve"> &lt;3GPP group(s)&gt;</w:t>
      </w:r>
      <w:r w:rsidR="00767E85" w:rsidRPr="00326D3E">
        <w:rPr>
          <w:rFonts w:ascii="Arial" w:eastAsia="MS Mincho" w:hAnsi="Arial" w:cs="Arial"/>
          <w:lang w:eastAsia="ja-JP"/>
        </w:rPr>
        <w:tab/>
      </w:r>
      <w:r w:rsidR="00767E85" w:rsidRPr="00326D3E">
        <w:rPr>
          <w:rFonts w:ascii="Arial" w:eastAsia="MS Mincho" w:hAnsi="Arial" w:cs="Arial"/>
          <w:b/>
          <w:lang w:eastAsia="ja-JP"/>
        </w:rPr>
        <w:t>cc:</w:t>
      </w:r>
      <w:r w:rsidR="00BF589A">
        <w:rPr>
          <w:rFonts w:ascii="Arial" w:eastAsia="MS Mincho" w:hAnsi="Arial" w:cs="Arial"/>
          <w:lang w:eastAsia="ja-JP"/>
        </w:rPr>
        <w:t xml:space="preserve"> </w:t>
      </w:r>
    </w:p>
    <w:p w:rsidR="00767E85" w:rsidRPr="00326D3E" w:rsidRDefault="00767E85" w:rsidP="00767E85">
      <w:pPr>
        <w:spacing w:after="60"/>
        <w:ind w:left="1985" w:hanging="1985"/>
        <w:rPr>
          <w:rFonts w:ascii="Arial" w:hAnsi="Arial" w:cs="Arial"/>
          <w:b/>
        </w:rPr>
      </w:pPr>
    </w:p>
    <w:p w:rsidR="0014322B" w:rsidRPr="00326D3E" w:rsidRDefault="00767E85" w:rsidP="00767E85">
      <w:pPr>
        <w:spacing w:after="60"/>
        <w:ind w:left="1985" w:hanging="1985"/>
        <w:rPr>
          <w:rFonts w:ascii="Arial" w:eastAsia="MS Mincho" w:hAnsi="Arial" w:cs="Arial"/>
          <w:b/>
          <w:bCs/>
          <w:lang w:eastAsia="ja-JP"/>
        </w:rPr>
      </w:pPr>
      <w:r w:rsidRPr="00326D3E">
        <w:rPr>
          <w:rFonts w:ascii="Arial" w:eastAsia="MS Mincho" w:hAnsi="Arial" w:cs="Arial"/>
          <w:b/>
          <w:bCs/>
          <w:lang w:eastAsia="ja-JP"/>
        </w:rPr>
        <w:t>cc:</w:t>
      </w:r>
    </w:p>
    <w:p w:rsidR="0014322B" w:rsidRDefault="0014322B" w:rsidP="0014322B">
      <w:pPr>
        <w:spacing w:after="60"/>
        <w:ind w:left="1985" w:hanging="1985"/>
        <w:rPr>
          <w:rFonts w:ascii="Arial" w:hAnsi="Arial" w:cs="Arial"/>
          <w:b/>
        </w:rPr>
      </w:pPr>
    </w:p>
    <w:p w:rsidR="00F228B2" w:rsidRPr="001C325F" w:rsidRDefault="00F228B2" w:rsidP="00F228B2">
      <w:pPr>
        <w:spacing w:after="120"/>
        <w:rPr>
          <w:rFonts w:ascii="Arial" w:hAnsi="Arial" w:cs="Arial"/>
          <w:b/>
        </w:rPr>
      </w:pPr>
      <w:r w:rsidRPr="001C325F">
        <w:rPr>
          <w:rFonts w:ascii="Arial" w:hAnsi="Arial" w:cs="Arial"/>
          <w:b/>
        </w:rPr>
        <w:t>1. Overall Description:</w:t>
      </w:r>
    </w:p>
    <w:p w:rsidR="0014322B" w:rsidRDefault="0014322B" w:rsidP="0014322B">
      <w:pPr>
        <w:spacing w:after="60"/>
        <w:rPr>
          <w:rFonts w:ascii="Arial" w:hAnsi="Arial" w:cs="Arial"/>
          <w:bCs/>
        </w:rPr>
      </w:pPr>
      <w:r>
        <w:rPr>
          <w:rFonts w:ascii="Arial" w:hAnsi="Arial" w:cs="Arial"/>
          <w:bCs/>
        </w:rPr>
        <w:t xml:space="preserve">3GPP TSG RAN and SA are kindly requested to review the proposed response and associated material to be attached, and </w:t>
      </w:r>
      <w:r w:rsidRPr="00174457">
        <w:rPr>
          <w:rFonts w:ascii="Arial" w:hAnsi="Arial" w:cs="Arial"/>
          <w:bCs/>
        </w:rPr>
        <w:t xml:space="preserve">to provide </w:t>
      </w:r>
      <w:r>
        <w:rPr>
          <w:rFonts w:ascii="Arial" w:hAnsi="Arial" w:cs="Arial"/>
          <w:bCs/>
        </w:rPr>
        <w:t>comment</w:t>
      </w:r>
      <w:r w:rsidRPr="00174457">
        <w:rPr>
          <w:rFonts w:ascii="Arial" w:hAnsi="Arial" w:cs="Arial"/>
          <w:bCs/>
        </w:rPr>
        <w:t xml:space="preserve"> as appropriate to </w:t>
      </w:r>
      <w:r>
        <w:rPr>
          <w:rFonts w:ascii="Arial" w:hAnsi="Arial" w:cs="Arial"/>
          <w:bCs/>
        </w:rPr>
        <w:t xml:space="preserve">PCG </w:t>
      </w:r>
    </w:p>
    <w:p w:rsidR="0014322B" w:rsidRDefault="0014322B" w:rsidP="0014322B">
      <w:pPr>
        <w:spacing w:after="60"/>
        <w:rPr>
          <w:rFonts w:ascii="Arial" w:hAnsi="Arial" w:cs="Arial"/>
          <w:bCs/>
        </w:rPr>
      </w:pPr>
    </w:p>
    <w:p w:rsidR="0014322B" w:rsidRPr="0014322B" w:rsidRDefault="0014322B" w:rsidP="00355AA0">
      <w:pPr>
        <w:jc w:val="both"/>
        <w:rPr>
          <w:rFonts w:ascii="Arial" w:hAnsi="Arial" w:cs="Arial"/>
        </w:rPr>
      </w:pPr>
      <w:r w:rsidRPr="0014322B">
        <w:rPr>
          <w:rFonts w:ascii="Arial" w:hAnsi="Arial" w:cs="Arial"/>
          <w:iCs/>
        </w:rPr>
        <w:t>RAN should work with SA in responding to this liaison. SA is currently working on PPDR related projects including</w:t>
      </w:r>
      <w:r w:rsidR="00BF589A">
        <w:rPr>
          <w:rFonts w:ascii="Arial" w:hAnsi="Arial" w:cs="Arial"/>
          <w:iCs/>
        </w:rPr>
        <w:t>;</w:t>
      </w:r>
      <w:r w:rsidRPr="0014322B">
        <w:rPr>
          <w:rFonts w:ascii="Arial" w:hAnsi="Arial" w:cs="Arial"/>
          <w:iCs/>
        </w:rPr>
        <w:t xml:space="preserve"> Proximity Services (</w:t>
      </w:r>
      <w:proofErr w:type="spellStart"/>
      <w:r w:rsidRPr="0014322B">
        <w:rPr>
          <w:rFonts w:ascii="Arial" w:hAnsi="Arial" w:cs="Arial"/>
          <w:iCs/>
        </w:rPr>
        <w:t>ProSe</w:t>
      </w:r>
      <w:proofErr w:type="spellEnd"/>
      <w:r w:rsidRPr="0014322B">
        <w:rPr>
          <w:rFonts w:ascii="Arial" w:hAnsi="Arial" w:cs="Arial"/>
          <w:iCs/>
        </w:rPr>
        <w:t>) and Group Communications system enablers for LTE (GCSE_LTE) in addition to others being considered including EPC-less E-UTRAN Operation for Public Safety (</w:t>
      </w:r>
      <w:proofErr w:type="spellStart"/>
      <w:r w:rsidRPr="0014322B">
        <w:rPr>
          <w:rFonts w:ascii="Arial" w:hAnsi="Arial" w:cs="Arial"/>
          <w:iCs/>
        </w:rPr>
        <w:t>EEOp</w:t>
      </w:r>
      <w:proofErr w:type="spellEnd"/>
      <w:r w:rsidRPr="0014322B">
        <w:rPr>
          <w:rFonts w:ascii="Arial" w:hAnsi="Arial" w:cs="Arial"/>
          <w:iCs/>
        </w:rPr>
        <w:t>) and Public Safety and Critical Communications support (</w:t>
      </w:r>
      <w:proofErr w:type="spellStart"/>
      <w:r w:rsidRPr="0014322B">
        <w:rPr>
          <w:rFonts w:ascii="Arial" w:hAnsi="Arial" w:cs="Arial"/>
          <w:iCs/>
        </w:rPr>
        <w:t>PubS</w:t>
      </w:r>
      <w:proofErr w:type="spellEnd"/>
      <w:r w:rsidRPr="0014322B">
        <w:rPr>
          <w:rFonts w:ascii="Arial" w:hAnsi="Arial" w:cs="Arial"/>
          <w:iCs/>
        </w:rPr>
        <w:t>).</w:t>
      </w:r>
    </w:p>
    <w:p w:rsidR="0014322B" w:rsidRDefault="0014322B" w:rsidP="0014322B">
      <w:pPr>
        <w:spacing w:after="60"/>
        <w:rPr>
          <w:rFonts w:ascii="Arial" w:hAnsi="Arial" w:cs="Arial"/>
          <w:bCs/>
        </w:rPr>
      </w:pPr>
    </w:p>
    <w:p w:rsidR="00767E85" w:rsidRDefault="0014322B" w:rsidP="0014322B">
      <w:pPr>
        <w:spacing w:after="60"/>
        <w:rPr>
          <w:rFonts w:ascii="Arial" w:hAnsi="Arial" w:cs="Arial"/>
          <w:color w:val="FF0000"/>
        </w:rPr>
      </w:pPr>
      <w:r>
        <w:rPr>
          <w:rFonts w:ascii="Arial" w:hAnsi="Arial" w:cs="Arial"/>
          <w:bCs/>
        </w:rPr>
        <w:t>PCG needs to approve the final contribution that will be submitted to ITU-R WP5A#15 via Individual members. Since there will be no face-to-face meeting of PCG before the deadline for the submission to ITU-R WP5D#15 it is suggested that the RAN Chairman coordinates the PCG approval by correspondence</w:t>
      </w:r>
      <w:r w:rsidR="00767E85">
        <w:rPr>
          <w:rFonts w:ascii="Arial" w:eastAsia="MS Mincho" w:hAnsi="Arial" w:cs="Arial"/>
          <w:b/>
          <w:bCs/>
          <w:color w:val="0000FF"/>
          <w:lang w:eastAsia="ja-JP"/>
        </w:rPr>
        <w:tab/>
      </w:r>
      <w:r w:rsidR="00767E85">
        <w:rPr>
          <w:rFonts w:ascii="Arial" w:hAnsi="Arial" w:cs="Arial"/>
          <w:color w:val="FF0000"/>
        </w:rPr>
        <w:tab/>
      </w:r>
    </w:p>
    <w:p w:rsidR="0014322B" w:rsidRDefault="0014322B" w:rsidP="0014322B">
      <w:pPr>
        <w:spacing w:after="60"/>
        <w:ind w:left="1985" w:hanging="1985"/>
        <w:rPr>
          <w:rFonts w:ascii="Arial" w:hAnsi="Arial" w:cs="Arial"/>
          <w:b/>
        </w:rPr>
      </w:pPr>
    </w:p>
    <w:p w:rsidR="0014322B" w:rsidRDefault="0014322B" w:rsidP="0014322B">
      <w:pPr>
        <w:spacing w:after="60"/>
        <w:ind w:left="1985" w:hanging="1265"/>
        <w:rPr>
          <w:rFonts w:ascii="Arial" w:eastAsia="MS Mincho" w:hAnsi="Arial" w:cs="Arial"/>
          <w:i/>
          <w:lang w:eastAsia="ja-JP"/>
        </w:rPr>
      </w:pPr>
      <w:r w:rsidRPr="000B003C">
        <w:rPr>
          <w:rFonts w:ascii="Arial" w:eastAsia="MS Mincho" w:hAnsi="Arial" w:cs="Arial"/>
          <w:i/>
          <w:lang w:eastAsia="ja-JP"/>
        </w:rPr>
        <w:t>----------------- [Remove 3GPP review part before submission to ITU] -----------------</w:t>
      </w:r>
    </w:p>
    <w:p w:rsidR="00767E85" w:rsidRDefault="00767E85" w:rsidP="0014322B">
      <w:pPr>
        <w:spacing w:after="60"/>
        <w:rPr>
          <w:rFonts w:ascii="Arial" w:hAnsi="Arial" w:cs="Arial"/>
          <w:b/>
        </w:rPr>
      </w:pPr>
    </w:p>
    <w:p w:rsidR="0014322B" w:rsidRPr="0014322B" w:rsidRDefault="0014322B" w:rsidP="0014322B">
      <w:pPr>
        <w:spacing w:after="60"/>
        <w:ind w:left="1985" w:hanging="1985"/>
        <w:rPr>
          <w:rFonts w:ascii="Arial" w:hAnsi="Arial" w:cs="Arial"/>
        </w:rPr>
      </w:pPr>
      <w:r w:rsidRPr="0014322B">
        <w:rPr>
          <w:rFonts w:ascii="Arial" w:hAnsi="Arial" w:cs="Arial"/>
        </w:rPr>
        <w:t>This ITU input will become part of ITU deliverable(s):</w:t>
      </w:r>
      <w:r w:rsidRPr="0014322B">
        <w:rPr>
          <w:rFonts w:ascii="Arial" w:hAnsi="Arial" w:cs="Arial"/>
        </w:rPr>
        <w:tab/>
      </w:r>
      <w:r w:rsidRPr="0014322B">
        <w:rPr>
          <w:rFonts w:ascii="Arial" w:hAnsi="Arial" w:cs="Arial"/>
        </w:rPr>
        <w:tab/>
        <w:t>Yes</w:t>
      </w:r>
    </w:p>
    <w:p w:rsidR="0014322B" w:rsidRPr="0014322B" w:rsidRDefault="0014322B" w:rsidP="0014322B">
      <w:pPr>
        <w:spacing w:after="60"/>
        <w:ind w:left="1985" w:hanging="1985"/>
        <w:rPr>
          <w:rFonts w:ascii="Arial" w:hAnsi="Arial" w:cs="Arial"/>
        </w:rPr>
      </w:pPr>
      <w:r w:rsidRPr="0014322B">
        <w:rPr>
          <w:rFonts w:ascii="Arial" w:hAnsi="Arial" w:cs="Arial"/>
        </w:rPr>
        <w:t>Responsible 3GPP group for final output to ITU:</w:t>
      </w:r>
      <w:r w:rsidRPr="0014322B">
        <w:rPr>
          <w:rFonts w:ascii="Arial" w:hAnsi="Arial" w:cs="Arial"/>
        </w:rPr>
        <w:tab/>
      </w:r>
      <w:r w:rsidRPr="0014322B">
        <w:rPr>
          <w:rFonts w:ascii="Arial" w:hAnsi="Arial" w:cs="Arial"/>
        </w:rPr>
        <w:tab/>
      </w:r>
      <w:r w:rsidRPr="0014322B">
        <w:rPr>
          <w:rFonts w:ascii="Arial" w:hAnsi="Arial" w:cs="Arial"/>
        </w:rPr>
        <w:tab/>
      </w:r>
      <w:r>
        <w:rPr>
          <w:rFonts w:ascii="Arial" w:hAnsi="Arial" w:cs="Arial"/>
        </w:rPr>
        <w:tab/>
      </w:r>
      <w:r w:rsidRPr="0014322B">
        <w:rPr>
          <w:rFonts w:ascii="Arial" w:hAnsi="Arial" w:cs="Arial"/>
        </w:rPr>
        <w:t>RAN /SA</w:t>
      </w:r>
    </w:p>
    <w:p w:rsidR="0014322B" w:rsidRPr="0014322B" w:rsidRDefault="0014322B" w:rsidP="0014322B">
      <w:pPr>
        <w:spacing w:after="60"/>
        <w:ind w:left="1985" w:hanging="1985"/>
        <w:rPr>
          <w:rFonts w:ascii="Arial" w:hAnsi="Arial" w:cs="Arial"/>
        </w:rPr>
      </w:pPr>
      <w:r w:rsidRPr="0014322B">
        <w:rPr>
          <w:rFonts w:ascii="Arial" w:hAnsi="Arial" w:cs="Arial"/>
        </w:rPr>
        <w:t>Deadline for the final output to ITU:</w:t>
      </w:r>
      <w:r w:rsidRPr="0014322B">
        <w:rPr>
          <w:rFonts w:ascii="Arial" w:hAnsi="Arial" w:cs="Arial"/>
        </w:rPr>
        <w:tab/>
      </w:r>
      <w:r w:rsidRPr="0014322B">
        <w:rPr>
          <w:rFonts w:ascii="Arial" w:hAnsi="Arial" w:cs="Arial"/>
        </w:rPr>
        <w:tab/>
      </w:r>
      <w:r w:rsidRPr="0014322B">
        <w:rPr>
          <w:rFonts w:ascii="Arial" w:hAnsi="Arial" w:cs="Arial"/>
        </w:rPr>
        <w:tab/>
      </w:r>
      <w:r w:rsidRPr="0014322B">
        <w:rPr>
          <w:rFonts w:ascii="Arial" w:hAnsi="Arial" w:cs="Arial"/>
        </w:rPr>
        <w:tab/>
      </w:r>
      <w:r w:rsidRPr="0014322B">
        <w:rPr>
          <w:rFonts w:ascii="Arial" w:hAnsi="Arial" w:cs="Arial"/>
        </w:rPr>
        <w:tab/>
      </w:r>
      <w:r w:rsidRPr="0014322B">
        <w:rPr>
          <w:rFonts w:ascii="Arial" w:hAnsi="Arial" w:cs="Arial"/>
        </w:rPr>
        <w:tab/>
      </w:r>
      <w:r w:rsidRPr="0014322B">
        <w:rPr>
          <w:rFonts w:ascii="Arial" w:hAnsi="Arial" w:cs="Arial"/>
        </w:rPr>
        <w:tab/>
      </w:r>
      <w:r w:rsidRPr="0014322B">
        <w:rPr>
          <w:rFonts w:ascii="Arial" w:hAnsi="Arial" w:cs="Arial"/>
        </w:rPr>
        <w:tab/>
        <w:t>23 January 2013 (16:00 hours UTC)</w:t>
      </w:r>
    </w:p>
    <w:p w:rsidR="0014322B" w:rsidRPr="0014322B" w:rsidRDefault="0014322B" w:rsidP="0014322B">
      <w:pPr>
        <w:spacing w:after="60"/>
        <w:ind w:left="1985" w:hanging="1985"/>
        <w:rPr>
          <w:rFonts w:ascii="Arial" w:hAnsi="Arial" w:cs="Arial"/>
        </w:rPr>
      </w:pPr>
      <w:proofErr w:type="gramStart"/>
      <w:r w:rsidRPr="0014322B">
        <w:rPr>
          <w:rFonts w:ascii="Arial" w:hAnsi="Arial" w:cs="Arial"/>
        </w:rPr>
        <w:t>way</w:t>
      </w:r>
      <w:proofErr w:type="gramEnd"/>
      <w:r w:rsidRPr="0014322B">
        <w:rPr>
          <w:rFonts w:ascii="Arial" w:hAnsi="Arial" w:cs="Arial"/>
        </w:rPr>
        <w:t xml:space="preserve"> to make this document available for ITU (see Art.51 of 3GPP working procedures) </w:t>
      </w:r>
    </w:p>
    <w:p w:rsidR="0014322B" w:rsidRPr="0014322B" w:rsidRDefault="00D11DE2" w:rsidP="0014322B">
      <w:pPr>
        <w:tabs>
          <w:tab w:val="left" w:pos="567"/>
          <w:tab w:val="left" w:pos="1134"/>
        </w:tabs>
        <w:spacing w:after="60"/>
        <w:ind w:left="1832" w:hanging="1265"/>
        <w:rPr>
          <w:rFonts w:ascii="Arial" w:hAnsi="Arial" w:cs="Arial"/>
        </w:rPr>
      </w:pPr>
      <w:r w:rsidRPr="0014322B">
        <w:rPr>
          <w:rFonts w:ascii="Arial" w:hAnsi="Arial" w:cs="Arial"/>
        </w:rPr>
        <w:t>[</w:t>
      </w:r>
      <w:r>
        <w:rPr>
          <w:rFonts w:ascii="Arial" w:hAnsi="Arial" w:cs="Arial"/>
        </w:rPr>
        <w:t xml:space="preserve">  </w:t>
      </w:r>
      <w:r w:rsidRPr="0014322B">
        <w:rPr>
          <w:rFonts w:ascii="Arial" w:hAnsi="Arial" w:cs="Arial"/>
        </w:rPr>
        <w:t>]</w:t>
      </w:r>
      <w:r w:rsidR="0014322B" w:rsidRPr="0014322B">
        <w:rPr>
          <w:rFonts w:ascii="Arial" w:eastAsia="MS Mincho" w:hAnsi="Arial" w:cs="Arial"/>
          <w:bCs/>
          <w:color w:val="FF0000"/>
          <w:lang w:eastAsia="ja-JP"/>
        </w:rPr>
        <w:tab/>
      </w:r>
      <w:r w:rsidR="0014322B" w:rsidRPr="0014322B">
        <w:rPr>
          <w:rFonts w:ascii="Arial" w:hAnsi="Arial" w:cs="Arial"/>
        </w:rPr>
        <w:t>a.</w:t>
      </w:r>
      <w:r w:rsidR="0014322B" w:rsidRPr="0014322B">
        <w:rPr>
          <w:rFonts w:ascii="Arial" w:hAnsi="Arial" w:cs="Arial"/>
        </w:rPr>
        <w:tab/>
        <w:t>via OPs as a deliverable from their organizations (for PCG review only)</w:t>
      </w:r>
    </w:p>
    <w:p w:rsidR="0014322B" w:rsidRPr="0014322B" w:rsidRDefault="00D11DE2" w:rsidP="0014322B">
      <w:pPr>
        <w:tabs>
          <w:tab w:val="left" w:pos="567"/>
          <w:tab w:val="left" w:pos="1134"/>
        </w:tabs>
        <w:spacing w:after="60"/>
        <w:ind w:left="1832" w:hanging="1265"/>
        <w:rPr>
          <w:rFonts w:ascii="Arial" w:hAnsi="Arial" w:cs="Arial"/>
        </w:rPr>
      </w:pPr>
      <w:r w:rsidRPr="0014322B">
        <w:rPr>
          <w:rFonts w:ascii="Arial" w:hAnsi="Arial" w:cs="Arial"/>
        </w:rPr>
        <w:t>[</w:t>
      </w:r>
      <w:r>
        <w:rPr>
          <w:rFonts w:ascii="Arial" w:hAnsi="Arial" w:cs="Arial"/>
        </w:rPr>
        <w:t xml:space="preserve">  </w:t>
      </w:r>
      <w:r w:rsidRPr="0014322B">
        <w:rPr>
          <w:rFonts w:ascii="Arial" w:hAnsi="Arial" w:cs="Arial"/>
        </w:rPr>
        <w:t>]</w:t>
      </w:r>
      <w:r w:rsidR="0014322B" w:rsidRPr="0014322B">
        <w:rPr>
          <w:rFonts w:ascii="Arial" w:eastAsia="MS Mincho" w:hAnsi="Arial" w:cs="Arial"/>
          <w:bCs/>
          <w:color w:val="FF0000"/>
          <w:lang w:eastAsia="ja-JP"/>
        </w:rPr>
        <w:tab/>
      </w:r>
      <w:r w:rsidR="0014322B" w:rsidRPr="0014322B">
        <w:rPr>
          <w:rFonts w:ascii="Arial" w:hAnsi="Arial" w:cs="Arial"/>
        </w:rPr>
        <w:t>b.</w:t>
      </w:r>
      <w:r w:rsidR="0014322B" w:rsidRPr="0014322B">
        <w:rPr>
          <w:rFonts w:ascii="Arial" w:hAnsi="Arial" w:cs="Arial"/>
        </w:rPr>
        <w:tab/>
        <w:t>via Individual Members (for PCG or TSG review) coordinated by ITU sector convener</w:t>
      </w:r>
    </w:p>
    <w:p w:rsidR="0014322B" w:rsidRDefault="0014322B" w:rsidP="0014322B">
      <w:pPr>
        <w:tabs>
          <w:tab w:val="left" w:pos="567"/>
          <w:tab w:val="left" w:pos="1134"/>
        </w:tabs>
        <w:spacing w:after="60"/>
        <w:ind w:left="1832" w:hanging="1265"/>
        <w:rPr>
          <w:rFonts w:ascii="Arial" w:hAnsi="Arial" w:cs="Arial"/>
        </w:rPr>
      </w:pPr>
      <w:r w:rsidRPr="0014322B">
        <w:rPr>
          <w:rFonts w:ascii="Arial" w:hAnsi="Arial" w:cs="Arial"/>
        </w:rPr>
        <w:t>[</w:t>
      </w:r>
      <w:r w:rsidR="00BF589A">
        <w:rPr>
          <w:rFonts w:ascii="Arial" w:hAnsi="Arial" w:cs="Arial"/>
        </w:rPr>
        <w:t>x</w:t>
      </w:r>
      <w:r w:rsidRPr="0014322B">
        <w:rPr>
          <w:rFonts w:ascii="Arial" w:hAnsi="Arial" w:cs="Arial"/>
        </w:rPr>
        <w:t>]</w:t>
      </w:r>
      <w:r w:rsidRPr="0014322B">
        <w:rPr>
          <w:rFonts w:ascii="Arial" w:eastAsia="MS Mincho" w:hAnsi="Arial" w:cs="Arial"/>
          <w:bCs/>
          <w:color w:val="FF0000"/>
          <w:lang w:eastAsia="ja-JP"/>
        </w:rPr>
        <w:tab/>
      </w:r>
      <w:r w:rsidRPr="0014322B">
        <w:rPr>
          <w:rFonts w:ascii="Arial" w:hAnsi="Arial" w:cs="Arial"/>
        </w:rPr>
        <w:t>c.</w:t>
      </w:r>
      <w:r w:rsidRPr="0014322B">
        <w:rPr>
          <w:rFonts w:ascii="Arial" w:hAnsi="Arial" w:cs="Arial"/>
        </w:rPr>
        <w:tab/>
        <w:t>via 3GPP LS coordinator (for TSG or WG review)</w:t>
      </w:r>
    </w:p>
    <w:p w:rsidR="00D11DE2" w:rsidRPr="0014322B" w:rsidRDefault="00D11DE2" w:rsidP="0014322B">
      <w:pPr>
        <w:tabs>
          <w:tab w:val="left" w:pos="567"/>
          <w:tab w:val="left" w:pos="1134"/>
        </w:tabs>
        <w:spacing w:after="60"/>
        <w:ind w:left="1832" w:hanging="1265"/>
        <w:rPr>
          <w:rFonts w:ascii="Arial" w:hAnsi="Arial" w:cs="Arial"/>
        </w:rPr>
      </w:pPr>
    </w:p>
    <w:p w:rsidR="0014322B" w:rsidRPr="000B003C" w:rsidRDefault="0014322B" w:rsidP="0014322B">
      <w:pPr>
        <w:spacing w:after="60"/>
        <w:ind w:left="1985" w:hanging="1265"/>
        <w:rPr>
          <w:rFonts w:ascii="Arial" w:eastAsia="MS Mincho" w:hAnsi="Arial" w:cs="Arial"/>
          <w:i/>
          <w:lang w:eastAsia="ja-JP"/>
        </w:rPr>
      </w:pPr>
      <w:r w:rsidRPr="000B003C">
        <w:rPr>
          <w:rFonts w:ascii="Arial" w:eastAsia="MS Mincho" w:hAnsi="Arial" w:cs="Arial"/>
          <w:i/>
          <w:lang w:eastAsia="ja-JP"/>
        </w:rPr>
        <w:t>----------------- [</w:t>
      </w:r>
      <w:proofErr w:type="gramStart"/>
      <w:r w:rsidRPr="000B003C">
        <w:rPr>
          <w:rFonts w:ascii="Arial" w:eastAsia="MS Mincho" w:hAnsi="Arial" w:cs="Arial"/>
          <w:i/>
          <w:lang w:eastAsia="ja-JP"/>
        </w:rPr>
        <w:t>remove</w:t>
      </w:r>
      <w:proofErr w:type="gramEnd"/>
      <w:r w:rsidRPr="000B003C">
        <w:rPr>
          <w:rFonts w:ascii="Arial" w:eastAsia="MS Mincho" w:hAnsi="Arial" w:cs="Arial"/>
          <w:i/>
          <w:lang w:eastAsia="ja-JP"/>
        </w:rPr>
        <w:t xml:space="preserve"> upper part before submission to ITU in case a. and b. (Art.51)] -----------------</w:t>
      </w:r>
    </w:p>
    <w:p w:rsidR="00326D3E" w:rsidRDefault="00326D3E" w:rsidP="00326D3E">
      <w:pPr>
        <w:rPr>
          <w:rFonts w:ascii="Arial" w:hAnsi="Arial" w:cs="Arial"/>
          <w:b/>
        </w:rPr>
      </w:pPr>
    </w:p>
    <w:p w:rsidR="00F228B2" w:rsidRPr="006348D4" w:rsidRDefault="00F228B2" w:rsidP="00326D3E">
      <w:pPr>
        <w:rPr>
          <w:b/>
          <w:sz w:val="24"/>
          <w:szCs w:val="24"/>
        </w:rPr>
      </w:pPr>
    </w:p>
    <w:p w:rsidR="00355AA0" w:rsidRPr="00355AA0" w:rsidRDefault="00355AA0" w:rsidP="00355AA0">
      <w:pPr>
        <w:spacing w:after="120"/>
        <w:rPr>
          <w:b/>
          <w:sz w:val="24"/>
          <w:szCs w:val="24"/>
        </w:rPr>
      </w:pPr>
      <w:r w:rsidRPr="00355AA0">
        <w:rPr>
          <w:b/>
          <w:sz w:val="24"/>
          <w:szCs w:val="24"/>
        </w:rPr>
        <w:t>1. Overall Description:</w:t>
      </w:r>
    </w:p>
    <w:p w:rsidR="00355AA0" w:rsidRDefault="00355AA0" w:rsidP="00F228B2">
      <w:pPr>
        <w:rPr>
          <w:rFonts w:eastAsia="MS Mincho"/>
          <w:sz w:val="24"/>
          <w:szCs w:val="24"/>
        </w:rPr>
      </w:pPr>
      <w:r w:rsidRPr="006348D4">
        <w:rPr>
          <w:rFonts w:eastAsia="MS Mincho"/>
          <w:sz w:val="24"/>
          <w:szCs w:val="24"/>
        </w:rPr>
        <w:t xml:space="preserve">3GPP TSG RAN thanks ITU-R WP5D for the invitation to provide information on the use of IMT for Broadband Public Protection and Disaster Relief (PPDR) applications.  </w:t>
      </w:r>
    </w:p>
    <w:p w:rsidR="00355AA0" w:rsidRDefault="00355AA0" w:rsidP="00F228B2">
      <w:pPr>
        <w:rPr>
          <w:b/>
          <w:sz w:val="24"/>
          <w:szCs w:val="24"/>
        </w:rPr>
      </w:pPr>
    </w:p>
    <w:p w:rsidR="00F228B2" w:rsidRDefault="00F228B2" w:rsidP="00F228B2">
      <w:pPr>
        <w:rPr>
          <w:b/>
          <w:sz w:val="24"/>
          <w:szCs w:val="24"/>
        </w:rPr>
      </w:pPr>
      <w:r>
        <w:rPr>
          <w:b/>
          <w:sz w:val="24"/>
          <w:szCs w:val="24"/>
        </w:rPr>
        <w:t>2.</w:t>
      </w:r>
      <w:r>
        <w:rPr>
          <w:b/>
          <w:sz w:val="24"/>
          <w:szCs w:val="24"/>
        </w:rPr>
        <w:tab/>
      </w:r>
      <w:r w:rsidR="00326D3E" w:rsidRPr="006348D4">
        <w:rPr>
          <w:b/>
          <w:sz w:val="24"/>
          <w:szCs w:val="24"/>
        </w:rPr>
        <w:t>A</w:t>
      </w:r>
      <w:r>
        <w:rPr>
          <w:b/>
          <w:sz w:val="24"/>
          <w:szCs w:val="24"/>
        </w:rPr>
        <w:t>ction</w:t>
      </w:r>
      <w:r w:rsidR="00326D3E" w:rsidRPr="006348D4">
        <w:rPr>
          <w:b/>
          <w:sz w:val="24"/>
          <w:szCs w:val="24"/>
        </w:rPr>
        <w:t xml:space="preserve">:  </w:t>
      </w:r>
    </w:p>
    <w:p w:rsidR="00F228B2" w:rsidRDefault="00F228B2" w:rsidP="00F228B2">
      <w:pPr>
        <w:rPr>
          <w:b/>
          <w:sz w:val="24"/>
          <w:szCs w:val="24"/>
        </w:rPr>
      </w:pPr>
    </w:p>
    <w:p w:rsidR="00F228B2" w:rsidRPr="006348D4" w:rsidRDefault="00F228B2" w:rsidP="00F228B2">
      <w:pPr>
        <w:rPr>
          <w:b/>
          <w:sz w:val="24"/>
          <w:szCs w:val="24"/>
        </w:rPr>
      </w:pPr>
      <w:r w:rsidRPr="006348D4">
        <w:rPr>
          <w:b/>
          <w:sz w:val="24"/>
          <w:szCs w:val="24"/>
        </w:rPr>
        <w:t>TO ITU-R WP 5D</w:t>
      </w:r>
    </w:p>
    <w:p w:rsidR="00326D3E" w:rsidRPr="00BF589A" w:rsidRDefault="00F83AE8" w:rsidP="00355AA0">
      <w:pPr>
        <w:rPr>
          <w:rFonts w:eastAsia="MS Mincho"/>
          <w:sz w:val="24"/>
          <w:szCs w:val="24"/>
        </w:rPr>
      </w:pPr>
      <w:r w:rsidRPr="006348D4">
        <w:rPr>
          <w:rFonts w:eastAsia="MS Mincho"/>
          <w:sz w:val="24"/>
          <w:szCs w:val="24"/>
        </w:rPr>
        <w:t>In this document, 3GPP TSG RAN provides feedback on these deliverables.</w:t>
      </w:r>
      <w:r w:rsidR="00355AA0">
        <w:rPr>
          <w:sz w:val="24"/>
          <w:szCs w:val="24"/>
        </w:rPr>
        <w:t xml:space="preserve"> </w:t>
      </w:r>
      <w:r w:rsidR="006348D4" w:rsidRPr="006348D4">
        <w:rPr>
          <w:rFonts w:eastAsia="MS Mincho"/>
          <w:sz w:val="24"/>
          <w:szCs w:val="24"/>
        </w:rPr>
        <w:t>3GPP TSG RAN is looking forward to continuing fruitful cooperation with ITU-R WP5D.</w:t>
      </w:r>
      <w:r w:rsidR="007479DA">
        <w:tab/>
      </w:r>
    </w:p>
    <w:p w:rsidR="00326D3E" w:rsidRPr="006348D4" w:rsidRDefault="00326D3E" w:rsidP="00326D3E">
      <w:pPr>
        <w:rPr>
          <w:bCs/>
          <w:sz w:val="24"/>
          <w:szCs w:val="24"/>
        </w:rPr>
      </w:pPr>
    </w:p>
    <w:p w:rsidR="00326D3E" w:rsidRPr="006348D4" w:rsidRDefault="00326D3E" w:rsidP="00326D3E">
      <w:pPr>
        <w:spacing w:after="120"/>
        <w:rPr>
          <w:b/>
          <w:sz w:val="24"/>
          <w:szCs w:val="24"/>
        </w:rPr>
      </w:pPr>
      <w:r w:rsidRPr="006348D4">
        <w:rPr>
          <w:b/>
          <w:sz w:val="24"/>
          <w:szCs w:val="24"/>
        </w:rPr>
        <w:t>3. Date of Next TSG-WG4 Meetings:</w:t>
      </w:r>
    </w:p>
    <w:p w:rsidR="00326D3E" w:rsidRPr="00355AA0" w:rsidRDefault="00355AA0" w:rsidP="00326D3E">
      <w:pPr>
        <w:rPr>
          <w:bCs/>
          <w:sz w:val="24"/>
          <w:szCs w:val="24"/>
        </w:rPr>
      </w:pPr>
      <w:r>
        <w:rPr>
          <w:bCs/>
          <w:sz w:val="24"/>
          <w:szCs w:val="24"/>
        </w:rPr>
        <w:t>TSG-RAN</w:t>
      </w:r>
      <w:r w:rsidR="00326D3E" w:rsidRPr="00355AA0">
        <w:rPr>
          <w:bCs/>
          <w:sz w:val="24"/>
          <w:szCs w:val="24"/>
        </w:rPr>
        <w:t>4 #66</w:t>
      </w:r>
      <w:r w:rsidR="00326D3E" w:rsidRPr="00355AA0">
        <w:rPr>
          <w:bCs/>
          <w:sz w:val="24"/>
          <w:szCs w:val="24"/>
        </w:rPr>
        <w:tab/>
        <w:t xml:space="preserve">28th January– 1sh February 2013      </w:t>
      </w:r>
      <w:r>
        <w:rPr>
          <w:bCs/>
          <w:sz w:val="24"/>
          <w:szCs w:val="24"/>
        </w:rPr>
        <w:tab/>
      </w:r>
      <w:r>
        <w:rPr>
          <w:bCs/>
          <w:sz w:val="24"/>
          <w:szCs w:val="24"/>
        </w:rPr>
        <w:tab/>
      </w:r>
      <w:r>
        <w:rPr>
          <w:bCs/>
          <w:sz w:val="24"/>
          <w:szCs w:val="24"/>
        </w:rPr>
        <w:tab/>
      </w:r>
      <w:r>
        <w:rPr>
          <w:bCs/>
          <w:sz w:val="24"/>
          <w:szCs w:val="24"/>
        </w:rPr>
        <w:tab/>
      </w:r>
      <w:r w:rsidR="00326D3E" w:rsidRPr="00355AA0">
        <w:rPr>
          <w:bCs/>
          <w:sz w:val="24"/>
          <w:szCs w:val="24"/>
        </w:rPr>
        <w:t>Malta, Republic of Malta</w:t>
      </w:r>
    </w:p>
    <w:p w:rsidR="00326D3E" w:rsidRPr="00355AA0" w:rsidRDefault="00326D3E" w:rsidP="00326D3E">
      <w:pPr>
        <w:rPr>
          <w:bCs/>
          <w:sz w:val="24"/>
          <w:szCs w:val="24"/>
        </w:rPr>
      </w:pPr>
      <w:r w:rsidRPr="00355AA0">
        <w:rPr>
          <w:bCs/>
          <w:sz w:val="24"/>
          <w:szCs w:val="24"/>
        </w:rPr>
        <w:t>TSG-RAN #65</w:t>
      </w:r>
      <w:r w:rsidRPr="00355AA0">
        <w:rPr>
          <w:bCs/>
          <w:sz w:val="24"/>
          <w:szCs w:val="24"/>
        </w:rPr>
        <w:tab/>
        <w:t xml:space="preserve">15th – 19th April 2013 </w:t>
      </w:r>
      <w:r w:rsidRPr="00355AA0">
        <w:rPr>
          <w:bCs/>
          <w:sz w:val="24"/>
          <w:szCs w:val="24"/>
        </w:rPr>
        <w:tab/>
      </w:r>
      <w:r w:rsidRPr="00355AA0">
        <w:rPr>
          <w:bCs/>
          <w:sz w:val="24"/>
          <w:szCs w:val="24"/>
        </w:rPr>
        <w:tab/>
        <w:t xml:space="preserve">        </w:t>
      </w:r>
      <w:r w:rsidR="00F228B2" w:rsidRPr="00355AA0">
        <w:rPr>
          <w:bCs/>
          <w:sz w:val="24"/>
          <w:szCs w:val="24"/>
        </w:rPr>
        <w:tab/>
      </w:r>
      <w:r w:rsidR="00F228B2" w:rsidRPr="00355AA0">
        <w:rPr>
          <w:bCs/>
          <w:sz w:val="24"/>
          <w:szCs w:val="24"/>
        </w:rPr>
        <w:tab/>
      </w:r>
      <w:r w:rsidR="00355AA0">
        <w:rPr>
          <w:bCs/>
          <w:sz w:val="24"/>
          <w:szCs w:val="24"/>
        </w:rPr>
        <w:tab/>
      </w:r>
      <w:r w:rsidR="00355AA0">
        <w:rPr>
          <w:bCs/>
          <w:sz w:val="24"/>
          <w:szCs w:val="24"/>
        </w:rPr>
        <w:tab/>
      </w:r>
      <w:r w:rsidR="00355AA0">
        <w:rPr>
          <w:bCs/>
          <w:sz w:val="24"/>
          <w:szCs w:val="24"/>
        </w:rPr>
        <w:tab/>
      </w:r>
      <w:r w:rsidR="00355AA0">
        <w:rPr>
          <w:bCs/>
          <w:sz w:val="24"/>
          <w:szCs w:val="24"/>
        </w:rPr>
        <w:tab/>
      </w:r>
      <w:r w:rsidRPr="00355AA0">
        <w:rPr>
          <w:bCs/>
          <w:sz w:val="24"/>
          <w:szCs w:val="24"/>
        </w:rPr>
        <w:t>Chicago, USA</w:t>
      </w:r>
    </w:p>
    <w:p w:rsidR="00326D3E" w:rsidRPr="006348D4" w:rsidRDefault="00326D3E" w:rsidP="00326D3E">
      <w:pPr>
        <w:spacing w:before="240"/>
        <w:rPr>
          <w:rFonts w:eastAsia="MS Mincho"/>
          <w:sz w:val="24"/>
          <w:szCs w:val="24"/>
        </w:rPr>
      </w:pPr>
    </w:p>
    <w:p w:rsidR="00326D3E" w:rsidRPr="006348D4" w:rsidRDefault="00326D3E" w:rsidP="00326D3E">
      <w:pPr>
        <w:spacing w:after="60"/>
        <w:ind w:left="1985" w:hanging="1985"/>
        <w:rPr>
          <w:bCs/>
          <w:sz w:val="24"/>
          <w:szCs w:val="24"/>
        </w:rPr>
      </w:pPr>
      <w:r w:rsidRPr="006348D4">
        <w:rPr>
          <w:rFonts w:eastAsia="MS Mincho"/>
          <w:b/>
          <w:sz w:val="24"/>
          <w:szCs w:val="24"/>
        </w:rPr>
        <w:t>Attachment:</w:t>
      </w:r>
      <w:r w:rsidRPr="006348D4">
        <w:rPr>
          <w:rFonts w:eastAsia="MS Mincho"/>
          <w:sz w:val="24"/>
          <w:szCs w:val="24"/>
        </w:rPr>
        <w:tab/>
      </w:r>
      <w:r w:rsidRPr="006348D4">
        <w:rPr>
          <w:bCs/>
          <w:sz w:val="24"/>
          <w:szCs w:val="24"/>
        </w:rPr>
        <w:t>3GPP_Rev_1, R12-WP5D-120716-TD-0004</w:t>
      </w:r>
      <w:proofErr w:type="gramStart"/>
      <w:r w:rsidRPr="006348D4">
        <w:rPr>
          <w:bCs/>
          <w:sz w:val="24"/>
          <w:szCs w:val="24"/>
        </w:rPr>
        <w:t>!R1</w:t>
      </w:r>
      <w:proofErr w:type="gramEnd"/>
      <w:r w:rsidRPr="006348D4">
        <w:rPr>
          <w:bCs/>
          <w:sz w:val="24"/>
          <w:szCs w:val="24"/>
        </w:rPr>
        <w:t>!MSW-E</w:t>
      </w:r>
    </w:p>
    <w:p w:rsidR="00326D3E" w:rsidRPr="006348D4" w:rsidRDefault="00326D3E" w:rsidP="00326D3E">
      <w:pPr>
        <w:rPr>
          <w:sz w:val="24"/>
          <w:szCs w:val="24"/>
        </w:rPr>
      </w:pPr>
    </w:p>
    <w:p w:rsidR="007479DA" w:rsidRDefault="007479DA" w:rsidP="007479DA">
      <w:pPr>
        <w:pStyle w:val="Heading1"/>
      </w:pPr>
    </w:p>
    <w:p w:rsidR="00326D3E" w:rsidRPr="00326D3E" w:rsidRDefault="00326D3E" w:rsidP="00326D3E"/>
    <w:p w:rsidR="00326D3E" w:rsidRDefault="00326D3E">
      <w:pPr>
        <w:rPr>
          <w:b/>
          <w:sz w:val="24"/>
        </w:rPr>
      </w:pPr>
      <w:r>
        <w:br w:type="page"/>
      </w:r>
    </w:p>
    <w:tbl>
      <w:tblPr>
        <w:tblpPr w:leftFromText="180" w:rightFromText="180" w:horzAnchor="margin" w:tblpY="-687"/>
        <w:tblW w:w="10031" w:type="dxa"/>
        <w:tblLayout w:type="fixed"/>
        <w:tblLook w:val="0000"/>
      </w:tblPr>
      <w:tblGrid>
        <w:gridCol w:w="10031"/>
      </w:tblGrid>
      <w:tr w:rsidR="00355AA0" w:rsidTr="00B07E70">
        <w:trPr>
          <w:cantSplit/>
        </w:trPr>
        <w:tc>
          <w:tcPr>
            <w:tcW w:w="10031" w:type="dxa"/>
          </w:tcPr>
          <w:p w:rsidR="00355AA0" w:rsidRPr="00F228B2" w:rsidRDefault="00355AA0" w:rsidP="00355AA0">
            <w:pPr>
              <w:pStyle w:val="AppendixNo"/>
              <w:spacing w:after="0"/>
              <w:rPr>
                <w:b/>
                <w:sz w:val="24"/>
                <w:szCs w:val="24"/>
              </w:rPr>
            </w:pPr>
            <w:bookmarkStart w:id="0" w:name="dsource" w:colFirst="0" w:colLast="0"/>
            <w:r w:rsidRPr="00F228B2">
              <w:rPr>
                <w:b/>
                <w:sz w:val="24"/>
                <w:szCs w:val="24"/>
              </w:rPr>
              <w:lastRenderedPageBreak/>
              <w:t>ATTACHMENT 1 (</w:t>
            </w:r>
            <w:r w:rsidRPr="00F228B2">
              <w:rPr>
                <w:b/>
                <w:bCs/>
                <w:sz w:val="24"/>
                <w:szCs w:val="24"/>
              </w:rPr>
              <w:t>3GPP_Rev_1, R12-WP5D-120716-TD-0004!R1!MSW-E)</w:t>
            </w:r>
          </w:p>
          <w:p w:rsidR="00355AA0" w:rsidRDefault="00355AA0" w:rsidP="00355AA0">
            <w:pPr>
              <w:pStyle w:val="Source"/>
              <w:spacing w:before="0"/>
            </w:pPr>
          </w:p>
          <w:p w:rsidR="00355AA0" w:rsidRPr="002D2A90" w:rsidRDefault="00355AA0" w:rsidP="00355AA0">
            <w:pPr>
              <w:pStyle w:val="Source"/>
              <w:spacing w:before="0"/>
            </w:pPr>
            <w:r w:rsidRPr="002D2A90">
              <w:t>Working Party 5D</w:t>
            </w:r>
            <w:r w:rsidRPr="002D2A90">
              <w:br/>
              <w:t>WG General Aspects</w:t>
            </w:r>
          </w:p>
        </w:tc>
      </w:tr>
      <w:tr w:rsidR="00355AA0" w:rsidTr="00B07E70">
        <w:trPr>
          <w:cantSplit/>
        </w:trPr>
        <w:tc>
          <w:tcPr>
            <w:tcW w:w="10031" w:type="dxa"/>
          </w:tcPr>
          <w:p w:rsidR="00355AA0" w:rsidRDefault="00355AA0" w:rsidP="00B07E70">
            <w:pPr>
              <w:pStyle w:val="RepNo"/>
              <w:rPr>
                <w:lang w:eastAsia="zh-CN"/>
              </w:rPr>
            </w:pPr>
            <w:bookmarkStart w:id="1" w:name="drec" w:colFirst="0" w:colLast="0"/>
            <w:bookmarkEnd w:id="0"/>
            <w:r w:rsidRPr="002747B0">
              <w:t xml:space="preserve">Draft Outline of a Working Document toward </w:t>
            </w:r>
            <w:r>
              <w:br/>
            </w:r>
            <w:r w:rsidRPr="002747B0">
              <w:t>a Preliminary Draft New Report on</w:t>
            </w:r>
          </w:p>
        </w:tc>
      </w:tr>
      <w:tr w:rsidR="00355AA0" w:rsidTr="00B07E70">
        <w:trPr>
          <w:cantSplit/>
        </w:trPr>
        <w:tc>
          <w:tcPr>
            <w:tcW w:w="10031" w:type="dxa"/>
          </w:tcPr>
          <w:p w:rsidR="00355AA0" w:rsidRDefault="00355AA0" w:rsidP="00B07E70">
            <w:pPr>
              <w:pStyle w:val="Reptitle"/>
              <w:rPr>
                <w:lang w:eastAsia="zh-CN"/>
              </w:rPr>
            </w:pPr>
            <w:bookmarkStart w:id="2" w:name="dtitle1" w:colFirst="0" w:colLast="0"/>
            <w:bookmarkEnd w:id="1"/>
            <w:r w:rsidRPr="002747B0">
              <w:t xml:space="preserve">The </w:t>
            </w:r>
            <w:r>
              <w:rPr>
                <w:lang w:eastAsia="ko-KR"/>
              </w:rPr>
              <w:t>U</w:t>
            </w:r>
            <w:r w:rsidRPr="002747B0">
              <w:t>se of I</w:t>
            </w:r>
            <w:r>
              <w:rPr>
                <w:lang w:eastAsia="ko-KR"/>
              </w:rPr>
              <w:t xml:space="preserve">nternational </w:t>
            </w:r>
            <w:r w:rsidRPr="002747B0">
              <w:t>M</w:t>
            </w:r>
            <w:r>
              <w:rPr>
                <w:lang w:eastAsia="ko-KR"/>
              </w:rPr>
              <w:t xml:space="preserve">obile </w:t>
            </w:r>
            <w:r w:rsidRPr="002747B0">
              <w:t>T</w:t>
            </w:r>
            <w:r>
              <w:rPr>
                <w:lang w:eastAsia="ko-KR"/>
              </w:rPr>
              <w:t>elecommunications (IMT)</w:t>
            </w:r>
            <w:r w:rsidRPr="002747B0">
              <w:t xml:space="preserve"> for </w:t>
            </w:r>
            <w:r>
              <w:rPr>
                <w:lang w:eastAsia="ko-KR"/>
              </w:rPr>
              <w:t>B</w:t>
            </w:r>
            <w:r w:rsidRPr="002747B0">
              <w:t xml:space="preserve">roadband </w:t>
            </w:r>
            <w:r>
              <w:rPr>
                <w:lang w:eastAsia="ko-KR"/>
              </w:rPr>
              <w:t>Public Protection and Disaster Relief (</w:t>
            </w:r>
            <w:r w:rsidRPr="002747B0">
              <w:t>PPDR</w:t>
            </w:r>
            <w:r>
              <w:rPr>
                <w:lang w:eastAsia="ko-KR"/>
              </w:rPr>
              <w:t>)</w:t>
            </w:r>
            <w:r w:rsidRPr="002747B0">
              <w:t xml:space="preserve"> </w:t>
            </w:r>
            <w:r>
              <w:rPr>
                <w:lang w:eastAsia="ko-KR"/>
              </w:rPr>
              <w:t>A</w:t>
            </w:r>
            <w:r w:rsidRPr="002747B0">
              <w:t>pplications</w:t>
            </w:r>
          </w:p>
        </w:tc>
      </w:tr>
    </w:tbl>
    <w:p w:rsidR="00355AA0" w:rsidRDefault="00355AA0" w:rsidP="00355AA0">
      <w:pPr>
        <w:pStyle w:val="Repref"/>
      </w:pPr>
      <w:bookmarkStart w:id="3" w:name="dbreak"/>
      <w:bookmarkEnd w:id="2"/>
      <w:bookmarkEnd w:id="3"/>
      <w:r w:rsidRPr="002747B0">
        <w:t>(Question ITU-R 229-3/5)</w:t>
      </w:r>
    </w:p>
    <w:p w:rsidR="00355AA0" w:rsidRDefault="00355AA0" w:rsidP="00355AA0">
      <w:pPr>
        <w:pStyle w:val="Heading1"/>
      </w:pPr>
    </w:p>
    <w:p w:rsidR="00355AA0" w:rsidRPr="002747B0" w:rsidRDefault="00355AA0" w:rsidP="00355AA0">
      <w:pPr>
        <w:pStyle w:val="Heading1"/>
      </w:pPr>
      <w:r>
        <w:t>1</w:t>
      </w:r>
      <w:r>
        <w:tab/>
      </w:r>
      <w:r w:rsidRPr="002747B0">
        <w:t>Scope</w:t>
      </w:r>
    </w:p>
    <w:p w:rsidR="00355AA0" w:rsidRPr="00355AA0" w:rsidRDefault="00355AA0" w:rsidP="00355AA0">
      <w:pPr>
        <w:jc w:val="both"/>
        <w:rPr>
          <w:sz w:val="24"/>
          <w:szCs w:val="24"/>
        </w:rPr>
      </w:pPr>
      <w:r w:rsidRPr="00355AA0">
        <w:rPr>
          <w:sz w:val="24"/>
          <w:szCs w:val="24"/>
        </w:rPr>
        <w:t>This Report offers a study of the applications of IMT technologies to PPDR using as a baseline the PPDR requirements as listed in Report ITU-R M.2033. The main focus is on the use of IMT technologies as a solution to meet the requirements of Public Safety agencies. [Text based on scope in work plan. To be further developed, as appropriate.]</w:t>
      </w:r>
    </w:p>
    <w:p w:rsidR="00355AA0" w:rsidRDefault="00355AA0" w:rsidP="00355AA0"/>
    <w:p w:rsidR="00355AA0" w:rsidRPr="00355AA0" w:rsidRDefault="00355AA0" w:rsidP="00355AA0"/>
    <w:p w:rsidR="00355AA0" w:rsidRPr="002747B0" w:rsidRDefault="00355AA0" w:rsidP="00355AA0">
      <w:pPr>
        <w:pStyle w:val="Heading1"/>
      </w:pPr>
      <w:r>
        <w:t>2</w:t>
      </w:r>
      <w:r w:rsidRPr="002747B0">
        <w:tab/>
        <w:t>Introduction</w:t>
      </w:r>
    </w:p>
    <w:p w:rsidR="007479DA" w:rsidRDefault="007479DA" w:rsidP="00326D3E">
      <w:pPr>
        <w:jc w:val="both"/>
        <w:rPr>
          <w:color w:val="002060"/>
          <w:sz w:val="24"/>
          <w:szCs w:val="24"/>
        </w:rPr>
      </w:pPr>
      <w:r w:rsidRPr="003D4D8B">
        <w:rPr>
          <w:color w:val="002060"/>
          <w:sz w:val="24"/>
          <w:szCs w:val="24"/>
        </w:rPr>
        <w:t>We understand that WP 5D has initiated the elaboration of a PDNR on the use of IMT for Broadband Public Protection and Disaster Relief (PPDR) applications, and therefore appreciates the timely invitation. Until now, the USA, Canada and Australia have decided to allocate dedicated spectrum for the implementation of IMT based broadband PPDR Services, which have already initiated specification work in the area of PPDR within 3GPP.</w:t>
      </w:r>
    </w:p>
    <w:p w:rsidR="00326D3E" w:rsidRPr="003D4D8B" w:rsidRDefault="00326D3E" w:rsidP="00326D3E">
      <w:pPr>
        <w:jc w:val="both"/>
        <w:rPr>
          <w:color w:val="002060"/>
          <w:sz w:val="24"/>
          <w:szCs w:val="24"/>
        </w:rPr>
      </w:pPr>
    </w:p>
    <w:p w:rsidR="007479DA" w:rsidRDefault="007479DA" w:rsidP="00326D3E">
      <w:pPr>
        <w:jc w:val="both"/>
        <w:rPr>
          <w:color w:val="002060"/>
          <w:sz w:val="24"/>
          <w:szCs w:val="24"/>
        </w:rPr>
      </w:pPr>
      <w:r w:rsidRPr="003D4D8B">
        <w:rPr>
          <w:color w:val="002060"/>
          <w:sz w:val="24"/>
          <w:szCs w:val="24"/>
        </w:rPr>
        <w:t>IMT specifications and related systems has on a global scale drastically changed the mobile communications landscape around the world, in particular for commercial markets, where the general consumer in many countries have gained broadband access to new advanced applications making use of information databases, media and the general internet capabilities.</w:t>
      </w:r>
    </w:p>
    <w:p w:rsidR="00326D3E" w:rsidRPr="003D4D8B" w:rsidRDefault="00326D3E" w:rsidP="00326D3E">
      <w:pPr>
        <w:jc w:val="both"/>
        <w:rPr>
          <w:color w:val="002060"/>
          <w:sz w:val="24"/>
          <w:szCs w:val="24"/>
        </w:rPr>
      </w:pPr>
    </w:p>
    <w:p w:rsidR="007479DA" w:rsidRDefault="007479DA" w:rsidP="00326D3E">
      <w:pPr>
        <w:jc w:val="both"/>
        <w:rPr>
          <w:color w:val="002060"/>
          <w:sz w:val="24"/>
          <w:szCs w:val="24"/>
        </w:rPr>
      </w:pPr>
      <w:r w:rsidRPr="003D4D8B">
        <w:rPr>
          <w:color w:val="002060"/>
          <w:sz w:val="24"/>
          <w:szCs w:val="24"/>
        </w:rPr>
        <w:t>We understand, that hitherto the public safety radio communications and other governmental mission critical requirements have as a rule been met by narrow band systems, but as the requirement for on-the-spot radio communications of video and high bit rate data has risen considerably all over the world, the need for broadband capabilities have become essential to the public safety organizations to save lives and property. Not to be forgotten are the governmental responsibilities to ensure an effective protection of vital national infrastructures such as power plans (nuclear), railroads, general motor traffic, gas, water and electricity supply, etcetera.</w:t>
      </w:r>
    </w:p>
    <w:p w:rsidR="00326D3E" w:rsidRPr="003D4D8B" w:rsidRDefault="00326D3E" w:rsidP="00326D3E">
      <w:pPr>
        <w:jc w:val="both"/>
        <w:rPr>
          <w:color w:val="002060"/>
          <w:sz w:val="24"/>
          <w:szCs w:val="24"/>
        </w:rPr>
      </w:pPr>
    </w:p>
    <w:p w:rsidR="007479DA" w:rsidRPr="003D4D8B" w:rsidRDefault="007479DA" w:rsidP="00326D3E">
      <w:pPr>
        <w:jc w:val="both"/>
        <w:rPr>
          <w:color w:val="002060"/>
          <w:sz w:val="24"/>
          <w:szCs w:val="24"/>
        </w:rPr>
      </w:pPr>
      <w:r w:rsidRPr="003D4D8B">
        <w:rPr>
          <w:color w:val="002060"/>
          <w:sz w:val="24"/>
          <w:szCs w:val="24"/>
        </w:rPr>
        <w:t>Therefore it seems obvious to us, that IMT based specifications and standards should be developed in the right format to play a focal role for such professional broadband PPDR applications.</w:t>
      </w:r>
    </w:p>
    <w:p w:rsidR="003D4D8B" w:rsidRPr="003D4D8B" w:rsidRDefault="003D4D8B" w:rsidP="007479DA">
      <w:pPr>
        <w:pStyle w:val="Heading1"/>
        <w:rPr>
          <w:szCs w:val="24"/>
        </w:rPr>
      </w:pPr>
    </w:p>
    <w:p w:rsidR="00355AA0" w:rsidRPr="002747B0" w:rsidRDefault="00355AA0" w:rsidP="00355AA0">
      <w:pPr>
        <w:pStyle w:val="Heading1"/>
      </w:pPr>
      <w:r>
        <w:t>3</w:t>
      </w:r>
      <w:r>
        <w:tab/>
      </w:r>
      <w:r w:rsidRPr="002747B0">
        <w:t>Broadband PPDR requirements</w:t>
      </w:r>
    </w:p>
    <w:p w:rsidR="007479DA" w:rsidRDefault="007479DA" w:rsidP="00326D3E">
      <w:pPr>
        <w:jc w:val="both"/>
        <w:rPr>
          <w:color w:val="002060"/>
          <w:sz w:val="24"/>
          <w:szCs w:val="24"/>
        </w:rPr>
      </w:pPr>
      <w:r w:rsidRPr="003D4D8B">
        <w:rPr>
          <w:color w:val="002060"/>
          <w:sz w:val="24"/>
          <w:szCs w:val="24"/>
        </w:rPr>
        <w:t xml:space="preserve">IMT, and in particular the 3GPP LTE technology as part of the IMT technology family of standards, is founded on an all-IP structure, which seems to be ideal in the </w:t>
      </w:r>
      <w:r w:rsidR="00326D3E" w:rsidRPr="003D4D8B">
        <w:rPr>
          <w:color w:val="002060"/>
          <w:sz w:val="24"/>
          <w:szCs w:val="24"/>
        </w:rPr>
        <w:t>fulfilment</w:t>
      </w:r>
      <w:r w:rsidRPr="003D4D8B">
        <w:rPr>
          <w:color w:val="002060"/>
          <w:sz w:val="24"/>
          <w:szCs w:val="24"/>
        </w:rPr>
        <w:t xml:space="preserve"> of the many new and advanced safety and relief requirements. It also seems to be an advantage for such specialized PPDR applications representing a much smaller market in comparison to the IMT commercial markets, that </w:t>
      </w:r>
      <w:r w:rsidRPr="003D4D8B">
        <w:rPr>
          <w:color w:val="002060"/>
          <w:sz w:val="24"/>
          <w:szCs w:val="24"/>
        </w:rPr>
        <w:lastRenderedPageBreak/>
        <w:t>the basic technology platform is the same and therefore allows for cost-effective design of special ruggedized terminal devices needed by the PPDR and government users.</w:t>
      </w:r>
    </w:p>
    <w:p w:rsidR="00326D3E" w:rsidRPr="003D4D8B" w:rsidRDefault="00326D3E" w:rsidP="00326D3E">
      <w:pPr>
        <w:jc w:val="both"/>
        <w:rPr>
          <w:color w:val="002060"/>
          <w:sz w:val="24"/>
          <w:szCs w:val="24"/>
        </w:rPr>
      </w:pPr>
    </w:p>
    <w:p w:rsidR="007479DA" w:rsidRPr="003D4D8B" w:rsidRDefault="007479DA" w:rsidP="00326D3E">
      <w:pPr>
        <w:jc w:val="both"/>
        <w:rPr>
          <w:color w:val="002060"/>
          <w:sz w:val="24"/>
          <w:szCs w:val="24"/>
        </w:rPr>
      </w:pPr>
      <w:r w:rsidRPr="003D4D8B">
        <w:rPr>
          <w:color w:val="002060"/>
          <w:sz w:val="24"/>
          <w:szCs w:val="24"/>
        </w:rPr>
        <w:t>Moreover 3GPP takes the view that IMT technology platforms, designed to deliver access on a global scale to a wide variety of spectrum bands, represents a particular valuable asset for the future broadband PPDR applications due to flexibility, adaptability, roaming and interoperability.</w:t>
      </w:r>
    </w:p>
    <w:p w:rsidR="003D4D8B" w:rsidRDefault="003D4D8B" w:rsidP="00F228B2">
      <w:pPr>
        <w:pStyle w:val="Heading1"/>
        <w:ind w:left="0" w:firstLine="0"/>
      </w:pPr>
    </w:p>
    <w:p w:rsidR="00355AA0" w:rsidRPr="002747B0" w:rsidRDefault="00355AA0" w:rsidP="00355AA0">
      <w:pPr>
        <w:pStyle w:val="Heading1"/>
      </w:pPr>
      <w:r>
        <w:t>4</w:t>
      </w:r>
      <w:r>
        <w:tab/>
      </w:r>
      <w:r w:rsidRPr="002747B0">
        <w:t xml:space="preserve">Comparison of IMT capabilities with the broadband PPDR requirements </w:t>
      </w:r>
    </w:p>
    <w:p w:rsidR="00355AA0" w:rsidRDefault="00355AA0" w:rsidP="00355AA0">
      <w:pPr>
        <w:rPr>
          <w:sz w:val="24"/>
          <w:szCs w:val="24"/>
        </w:rPr>
      </w:pPr>
      <w:r w:rsidRPr="003D4D8B">
        <w:rPr>
          <w:sz w:val="24"/>
          <w:szCs w:val="24"/>
        </w:rPr>
        <w:t>[To be developed, as needed.]</w:t>
      </w:r>
    </w:p>
    <w:p w:rsidR="003D4D8B" w:rsidRDefault="003D4D8B" w:rsidP="007479DA">
      <w:pPr>
        <w:pStyle w:val="Heading1"/>
      </w:pPr>
    </w:p>
    <w:p w:rsidR="00355AA0" w:rsidRPr="002747B0" w:rsidRDefault="00355AA0" w:rsidP="00355AA0">
      <w:pPr>
        <w:pStyle w:val="Heading1"/>
      </w:pPr>
      <w:r>
        <w:t>5</w:t>
      </w:r>
      <w:r>
        <w:tab/>
      </w:r>
      <w:r w:rsidRPr="002747B0">
        <w:t xml:space="preserve">Examples for deploying IMT networks for public safety </w:t>
      </w:r>
    </w:p>
    <w:p w:rsidR="00BF589A" w:rsidRPr="00BF589A" w:rsidRDefault="007479DA" w:rsidP="00BF589A">
      <w:pPr>
        <w:jc w:val="both"/>
        <w:rPr>
          <w:color w:val="660066"/>
          <w:sz w:val="24"/>
          <w:szCs w:val="24"/>
        </w:rPr>
      </w:pPr>
      <w:r w:rsidRPr="003D4D8B">
        <w:rPr>
          <w:color w:val="002060"/>
          <w:sz w:val="24"/>
          <w:szCs w:val="24"/>
        </w:rPr>
        <w:t>Many countries around the world have already decided for or are expected to announce the standardization of 3GPP LTE technology to build dedicated nationwide public safety mobile broadband network s. In particular announcements made in USA, Canada and Australia are supporting the use of 3GPP LTE as the technology of choice for dedicated broadband PPDR networks</w:t>
      </w:r>
      <w:r w:rsidR="00BF589A">
        <w:rPr>
          <w:color w:val="002060"/>
          <w:sz w:val="24"/>
          <w:szCs w:val="24"/>
        </w:rPr>
        <w:t>.</w:t>
      </w:r>
      <w:r w:rsidR="00BF589A">
        <w:rPr>
          <w:color w:val="660066"/>
          <w:sz w:val="24"/>
          <w:szCs w:val="24"/>
        </w:rPr>
        <w:t xml:space="preserve"> I</w:t>
      </w:r>
      <w:r w:rsidR="00BF589A" w:rsidRPr="00BF589A">
        <w:rPr>
          <w:color w:val="660066"/>
          <w:sz w:val="24"/>
          <w:szCs w:val="24"/>
        </w:rPr>
        <w:t xml:space="preserve">n Europe </w:t>
      </w:r>
      <w:r w:rsidR="00BF589A">
        <w:rPr>
          <w:color w:val="660066"/>
          <w:sz w:val="24"/>
          <w:szCs w:val="24"/>
        </w:rPr>
        <w:t>t</w:t>
      </w:r>
      <w:r w:rsidR="00BF589A" w:rsidRPr="00BF589A">
        <w:rPr>
          <w:color w:val="660066"/>
          <w:sz w:val="24"/>
          <w:szCs w:val="24"/>
        </w:rPr>
        <w:t xml:space="preserve">he PPDR community has also endorsed the use of LTE </w:t>
      </w:r>
      <w:r w:rsidR="00BF589A" w:rsidRPr="003D4D8B">
        <w:rPr>
          <w:color w:val="002060"/>
          <w:sz w:val="24"/>
          <w:szCs w:val="24"/>
        </w:rPr>
        <w:t>as the technology of choice</w:t>
      </w:r>
      <w:r w:rsidR="00BF589A" w:rsidRPr="00BF589A">
        <w:rPr>
          <w:color w:val="660066"/>
          <w:sz w:val="24"/>
          <w:szCs w:val="24"/>
        </w:rPr>
        <w:t xml:space="preserve"> and has joined with the USA in promoting public safety requirements into the LTE standards.</w:t>
      </w:r>
    </w:p>
    <w:p w:rsidR="00326D3E" w:rsidRPr="003D4D8B" w:rsidRDefault="00326D3E" w:rsidP="00326D3E">
      <w:pPr>
        <w:jc w:val="both"/>
        <w:rPr>
          <w:color w:val="002060"/>
          <w:sz w:val="24"/>
          <w:szCs w:val="24"/>
        </w:rPr>
      </w:pPr>
    </w:p>
    <w:p w:rsidR="00D11DE2" w:rsidRDefault="007479DA" w:rsidP="00326D3E">
      <w:pPr>
        <w:jc w:val="both"/>
        <w:rPr>
          <w:color w:val="002060"/>
          <w:sz w:val="24"/>
          <w:szCs w:val="24"/>
        </w:rPr>
      </w:pPr>
      <w:r w:rsidRPr="003D4D8B">
        <w:rPr>
          <w:color w:val="002060"/>
          <w:sz w:val="24"/>
          <w:szCs w:val="24"/>
        </w:rPr>
        <w:t>The  FCC in USA,  which had been looking to establish a nationwide public safety mobile broadband network  for many years, has since  unanimously decided that Long Term Evolution (LTE) will be the one technology that binds the broadband public safety radio spectrum in 700 MHz which the 3GPP has no</w:t>
      </w:r>
      <w:r w:rsidR="00D11DE2">
        <w:rPr>
          <w:color w:val="002060"/>
          <w:sz w:val="24"/>
          <w:szCs w:val="24"/>
        </w:rPr>
        <w:t>w standardized as Band class 14</w:t>
      </w:r>
      <w:r w:rsidRPr="003D4D8B">
        <w:rPr>
          <w:color w:val="002060"/>
          <w:sz w:val="24"/>
          <w:szCs w:val="24"/>
        </w:rPr>
        <w:t xml:space="preserve">. </w:t>
      </w:r>
    </w:p>
    <w:p w:rsidR="00D11DE2" w:rsidRDefault="00D11DE2" w:rsidP="00326D3E">
      <w:pPr>
        <w:jc w:val="both"/>
        <w:rPr>
          <w:color w:val="002060"/>
          <w:sz w:val="24"/>
          <w:szCs w:val="24"/>
        </w:rPr>
      </w:pPr>
    </w:p>
    <w:p w:rsidR="007479DA" w:rsidRDefault="007479DA" w:rsidP="00326D3E">
      <w:pPr>
        <w:jc w:val="both"/>
        <w:rPr>
          <w:color w:val="002060"/>
          <w:sz w:val="24"/>
          <w:szCs w:val="24"/>
        </w:rPr>
      </w:pPr>
      <w:r w:rsidRPr="003D4D8B">
        <w:rPr>
          <w:color w:val="002060"/>
          <w:sz w:val="24"/>
          <w:szCs w:val="24"/>
        </w:rPr>
        <w:t xml:space="preserve">A number of regional public safety agencies in US have already invested in LTE equipment for the 700 MHz band that will support disparate groups of first responders in USA communicate with one another on a day to day basis as well as in the event of national or local emergencies. The FCC Report and the Rules announced in 2011 in USA to limit the use of the 700 MHz band to 3GPP LTE standard significantly advanced the communications interoperability for their first responders and support the build out of robust, dedicated and secure mobile broadband networks that will enable public safety broadband users to share information, videos, photos and emails across departments and jurisdictions nationwide for day-to-day operations and during large-scale emergencies. </w:t>
      </w:r>
    </w:p>
    <w:p w:rsidR="00326D3E" w:rsidRPr="003D4D8B" w:rsidRDefault="00326D3E" w:rsidP="00326D3E">
      <w:pPr>
        <w:jc w:val="both"/>
        <w:rPr>
          <w:color w:val="002060"/>
          <w:sz w:val="24"/>
          <w:szCs w:val="24"/>
        </w:rPr>
      </w:pPr>
    </w:p>
    <w:p w:rsidR="007479DA" w:rsidRPr="003D4D8B" w:rsidRDefault="007479DA" w:rsidP="00326D3E">
      <w:pPr>
        <w:jc w:val="both"/>
        <w:rPr>
          <w:color w:val="002060"/>
          <w:sz w:val="24"/>
          <w:szCs w:val="24"/>
        </w:rPr>
      </w:pPr>
      <w:r w:rsidRPr="003D4D8B">
        <w:rPr>
          <w:color w:val="002060"/>
          <w:sz w:val="24"/>
          <w:szCs w:val="24"/>
        </w:rPr>
        <w:t xml:space="preserve">These decisions to dedicate spectrum to deploy LTE for broad band Public safety services in the US, Canada and Australia  in 700 and 800 MHz bands are now sparking the desire to open up activities in 3GPP to specify new advanced functionalities of LTE to support public safety and disaster relief functions. </w:t>
      </w:r>
    </w:p>
    <w:p w:rsidR="003D4D8B" w:rsidRDefault="003D4D8B" w:rsidP="007479DA">
      <w:pPr>
        <w:pStyle w:val="Heading1"/>
      </w:pPr>
    </w:p>
    <w:p w:rsidR="00355AA0" w:rsidRDefault="00355AA0" w:rsidP="00355AA0">
      <w:pPr>
        <w:pStyle w:val="Heading1"/>
      </w:pPr>
      <w:r>
        <w:t>6</w:t>
      </w:r>
      <w:r>
        <w:tab/>
      </w:r>
      <w:r w:rsidRPr="002747B0">
        <w:t>Case studies of applications of IMT technologies to broadband PPDR</w:t>
      </w:r>
    </w:p>
    <w:p w:rsidR="007479DA" w:rsidRPr="003D4D8B" w:rsidRDefault="007479DA" w:rsidP="00326D3E">
      <w:pPr>
        <w:spacing w:after="240"/>
        <w:jc w:val="both"/>
        <w:rPr>
          <w:color w:val="002060"/>
          <w:sz w:val="24"/>
          <w:szCs w:val="24"/>
        </w:rPr>
      </w:pPr>
      <w:r w:rsidRPr="003D4D8B">
        <w:rPr>
          <w:color w:val="002060"/>
          <w:sz w:val="24"/>
          <w:szCs w:val="24"/>
        </w:rPr>
        <w:t>3GPP LTE technologies operate in a number of frequency bands, particularly in some of the bands identified by ITU for PPDR under resolution 646(WRC-12). Some key considerations for use of LTE by PPDR in these bands are described below:</w:t>
      </w:r>
    </w:p>
    <w:p w:rsidR="007479DA" w:rsidRPr="003D4D8B" w:rsidRDefault="007479DA" w:rsidP="00326D3E">
      <w:pPr>
        <w:numPr>
          <w:ilvl w:val="0"/>
          <w:numId w:val="7"/>
        </w:numPr>
        <w:tabs>
          <w:tab w:val="left" w:pos="-3261"/>
        </w:tabs>
        <w:overflowPunct w:val="0"/>
        <w:autoSpaceDE w:val="0"/>
        <w:autoSpaceDN w:val="0"/>
        <w:adjustRightInd w:val="0"/>
        <w:jc w:val="both"/>
        <w:textAlignment w:val="baseline"/>
        <w:rPr>
          <w:color w:val="002060"/>
          <w:sz w:val="24"/>
          <w:szCs w:val="24"/>
        </w:rPr>
      </w:pPr>
      <w:r w:rsidRPr="003D4D8B">
        <w:rPr>
          <w:color w:val="002060"/>
          <w:sz w:val="24"/>
          <w:szCs w:val="24"/>
        </w:rPr>
        <w:t xml:space="preserve">Existing co-existence and sharing studies for 3GPP Bands;  B14, B26, B27, B28 for use by PPDR and other services </w:t>
      </w:r>
    </w:p>
    <w:p w:rsidR="007479DA" w:rsidRPr="003D4D8B" w:rsidRDefault="007479DA" w:rsidP="00326D3E">
      <w:pPr>
        <w:numPr>
          <w:ilvl w:val="0"/>
          <w:numId w:val="7"/>
        </w:numPr>
        <w:tabs>
          <w:tab w:val="left" w:pos="-3261"/>
        </w:tabs>
        <w:overflowPunct w:val="0"/>
        <w:autoSpaceDE w:val="0"/>
        <w:autoSpaceDN w:val="0"/>
        <w:adjustRightInd w:val="0"/>
        <w:jc w:val="both"/>
        <w:textAlignment w:val="baseline"/>
        <w:rPr>
          <w:color w:val="002060"/>
          <w:sz w:val="24"/>
          <w:szCs w:val="24"/>
        </w:rPr>
      </w:pPr>
      <w:r w:rsidRPr="003D4D8B">
        <w:rPr>
          <w:color w:val="002060"/>
          <w:sz w:val="24"/>
          <w:szCs w:val="24"/>
        </w:rPr>
        <w:t xml:space="preserve">Existing spectrum and spurious emission requirements for use by PPDR and other services </w:t>
      </w:r>
    </w:p>
    <w:p w:rsidR="007479DA" w:rsidRPr="003D4D8B" w:rsidRDefault="007479DA" w:rsidP="00326D3E">
      <w:pPr>
        <w:pStyle w:val="ListParagraph"/>
        <w:numPr>
          <w:ilvl w:val="0"/>
          <w:numId w:val="7"/>
        </w:numPr>
        <w:jc w:val="both"/>
        <w:rPr>
          <w:rFonts w:ascii="Times New Roman" w:hAnsi="Times New Roman"/>
          <w:color w:val="002060"/>
          <w:sz w:val="24"/>
          <w:szCs w:val="24"/>
          <w:lang w:val="en-GB"/>
        </w:rPr>
      </w:pPr>
      <w:r w:rsidRPr="003D4D8B">
        <w:rPr>
          <w:rFonts w:ascii="Times New Roman" w:hAnsi="Times New Roman"/>
          <w:color w:val="002060"/>
          <w:sz w:val="24"/>
          <w:szCs w:val="24"/>
          <w:lang w:val="en-GB"/>
        </w:rPr>
        <w:t xml:space="preserve">Simplified technical RF design </w:t>
      </w:r>
    </w:p>
    <w:p w:rsidR="007479DA" w:rsidRDefault="007479DA" w:rsidP="007479DA"/>
    <w:p w:rsidR="00355AA0" w:rsidRPr="00F80B1A" w:rsidRDefault="00355AA0" w:rsidP="00355AA0">
      <w:pPr>
        <w:pStyle w:val="Heading1"/>
      </w:pPr>
      <w:r>
        <w:rPr>
          <w:lang w:eastAsia="ko-KR"/>
        </w:rPr>
        <w:t>7</w:t>
      </w:r>
      <w:r>
        <w:rPr>
          <w:lang w:eastAsia="ko-KR"/>
        </w:rPr>
        <w:tab/>
      </w:r>
      <w:r w:rsidRPr="002747B0">
        <w:rPr>
          <w:lang w:eastAsia="ko-KR"/>
        </w:rPr>
        <w:t>Summary and conclusions</w:t>
      </w:r>
    </w:p>
    <w:p w:rsidR="00326D3E" w:rsidRPr="003B4CBE" w:rsidRDefault="007479DA" w:rsidP="00326D3E">
      <w:pPr>
        <w:jc w:val="both"/>
        <w:rPr>
          <w:i/>
          <w:sz w:val="24"/>
          <w:szCs w:val="24"/>
        </w:rPr>
      </w:pPr>
      <w:r w:rsidRPr="00326D3E">
        <w:rPr>
          <w:sz w:val="24"/>
          <w:szCs w:val="24"/>
        </w:rPr>
        <w:t xml:space="preserve">The decisions to dedicate spectrum to deploy the LTE standard for broadband PPDR services in the USA, Canada and Australia </w:t>
      </w:r>
      <w:r w:rsidR="00326D3E" w:rsidRPr="00326D3E">
        <w:rPr>
          <w:sz w:val="24"/>
          <w:szCs w:val="24"/>
        </w:rPr>
        <w:t>has</w:t>
      </w:r>
      <w:r w:rsidRPr="00326D3E">
        <w:rPr>
          <w:sz w:val="24"/>
          <w:szCs w:val="24"/>
        </w:rPr>
        <w:t xml:space="preserve"> already initiated the work in 3GPP to specify new advanced functionalities </w:t>
      </w:r>
      <w:r w:rsidR="00326D3E" w:rsidRPr="00326D3E">
        <w:rPr>
          <w:sz w:val="24"/>
          <w:szCs w:val="24"/>
        </w:rPr>
        <w:t xml:space="preserve">of LTE. </w:t>
      </w:r>
      <w:r w:rsidRPr="00326D3E">
        <w:rPr>
          <w:sz w:val="24"/>
          <w:szCs w:val="24"/>
        </w:rPr>
        <w:t xml:space="preserve"> </w:t>
      </w:r>
      <w:r w:rsidR="00326D3E" w:rsidRPr="00BF589A">
        <w:rPr>
          <w:sz w:val="24"/>
          <w:szCs w:val="24"/>
        </w:rPr>
        <w:t xml:space="preserve">Such features are </w:t>
      </w:r>
      <w:r w:rsidR="00907269" w:rsidRPr="00BF589A">
        <w:rPr>
          <w:iCs/>
          <w:sz w:val="24"/>
          <w:szCs w:val="24"/>
        </w:rPr>
        <w:t>i</w:t>
      </w:r>
      <w:r w:rsidR="00326D3E" w:rsidRPr="00BF589A">
        <w:rPr>
          <w:iCs/>
          <w:sz w:val="24"/>
          <w:szCs w:val="24"/>
        </w:rPr>
        <w:t xml:space="preserve">nclude; </w:t>
      </w:r>
      <w:r w:rsidR="00326D3E" w:rsidRPr="003B4CBE">
        <w:rPr>
          <w:i/>
          <w:iCs/>
          <w:sz w:val="24"/>
          <w:szCs w:val="24"/>
        </w:rPr>
        <w:t>Proximity Services (</w:t>
      </w:r>
      <w:proofErr w:type="spellStart"/>
      <w:r w:rsidR="00326D3E" w:rsidRPr="003B4CBE">
        <w:rPr>
          <w:i/>
          <w:iCs/>
          <w:sz w:val="24"/>
          <w:szCs w:val="24"/>
        </w:rPr>
        <w:t>ProSe</w:t>
      </w:r>
      <w:proofErr w:type="spellEnd"/>
      <w:r w:rsidR="00326D3E" w:rsidRPr="003B4CBE">
        <w:rPr>
          <w:i/>
          <w:iCs/>
          <w:sz w:val="24"/>
          <w:szCs w:val="24"/>
        </w:rPr>
        <w:t>) and Group Communications system enablers for LTE (GCSE_LTE) in addition to others being considered including EPC-less E-UTRAN Operation for Public Safety (</w:t>
      </w:r>
      <w:proofErr w:type="spellStart"/>
      <w:r w:rsidR="00326D3E" w:rsidRPr="003B4CBE">
        <w:rPr>
          <w:i/>
          <w:iCs/>
          <w:sz w:val="24"/>
          <w:szCs w:val="24"/>
        </w:rPr>
        <w:t>EEOp</w:t>
      </w:r>
      <w:proofErr w:type="spellEnd"/>
      <w:r w:rsidR="00326D3E" w:rsidRPr="003B4CBE">
        <w:rPr>
          <w:i/>
          <w:iCs/>
          <w:sz w:val="24"/>
          <w:szCs w:val="24"/>
        </w:rPr>
        <w:t>) and Public Safety and Critical Communications support (</w:t>
      </w:r>
      <w:proofErr w:type="spellStart"/>
      <w:r w:rsidR="00326D3E" w:rsidRPr="003B4CBE">
        <w:rPr>
          <w:i/>
          <w:iCs/>
          <w:sz w:val="24"/>
          <w:szCs w:val="24"/>
        </w:rPr>
        <w:t>PubS</w:t>
      </w:r>
      <w:proofErr w:type="spellEnd"/>
      <w:r w:rsidR="00326D3E" w:rsidRPr="003B4CBE">
        <w:rPr>
          <w:i/>
          <w:iCs/>
          <w:sz w:val="24"/>
          <w:szCs w:val="24"/>
        </w:rPr>
        <w:t>).</w:t>
      </w:r>
    </w:p>
    <w:p w:rsidR="007479DA" w:rsidRPr="003D4D8B" w:rsidRDefault="007479DA" w:rsidP="007479DA">
      <w:pPr>
        <w:rPr>
          <w:sz w:val="24"/>
          <w:szCs w:val="24"/>
        </w:rPr>
      </w:pPr>
    </w:p>
    <w:p w:rsidR="007479DA" w:rsidRPr="003D4D8B" w:rsidRDefault="007479DA" w:rsidP="00326D3E">
      <w:pPr>
        <w:spacing w:after="240"/>
        <w:rPr>
          <w:sz w:val="24"/>
          <w:szCs w:val="24"/>
        </w:rPr>
      </w:pPr>
      <w:r w:rsidRPr="003D4D8B">
        <w:rPr>
          <w:sz w:val="24"/>
          <w:szCs w:val="24"/>
        </w:rPr>
        <w:t>In general, the LTE technical standard of the IMT family, as referenced above, constitutes a solid and future proof platform for the implementation of regional and global PPDR applications regarding the aspects mentioned above:</w:t>
      </w:r>
    </w:p>
    <w:p w:rsidR="007479DA" w:rsidRPr="003D4D8B" w:rsidRDefault="007479DA" w:rsidP="007479DA">
      <w:pPr>
        <w:pStyle w:val="ListParagraph"/>
        <w:numPr>
          <w:ilvl w:val="0"/>
          <w:numId w:val="6"/>
        </w:numPr>
        <w:rPr>
          <w:rFonts w:ascii="Times New Roman" w:hAnsi="Times New Roman"/>
          <w:sz w:val="24"/>
          <w:szCs w:val="24"/>
          <w:lang w:val="en-GB"/>
        </w:rPr>
      </w:pPr>
      <w:r w:rsidRPr="003D4D8B">
        <w:rPr>
          <w:rFonts w:ascii="Times New Roman" w:hAnsi="Times New Roman"/>
          <w:sz w:val="24"/>
          <w:szCs w:val="24"/>
          <w:lang w:val="en-GB"/>
        </w:rPr>
        <w:t xml:space="preserve">Spectrum flexibility for roaming and interoperability </w:t>
      </w:r>
    </w:p>
    <w:p w:rsidR="007479DA" w:rsidRPr="003D4D8B" w:rsidRDefault="007479DA" w:rsidP="007479DA">
      <w:pPr>
        <w:pStyle w:val="ListParagraph"/>
        <w:numPr>
          <w:ilvl w:val="0"/>
          <w:numId w:val="6"/>
        </w:numPr>
        <w:rPr>
          <w:rFonts w:ascii="Times New Roman" w:hAnsi="Times New Roman"/>
          <w:sz w:val="24"/>
          <w:szCs w:val="24"/>
          <w:lang w:val="en-GB"/>
        </w:rPr>
      </w:pPr>
      <w:r w:rsidRPr="003D4D8B">
        <w:rPr>
          <w:rFonts w:ascii="Times New Roman" w:hAnsi="Times New Roman"/>
          <w:sz w:val="24"/>
          <w:szCs w:val="24"/>
          <w:lang w:val="en-GB"/>
        </w:rPr>
        <w:t>All-IP end-to-end</w:t>
      </w:r>
      <w:r w:rsidRPr="003D4D8B" w:rsidDel="00324338">
        <w:rPr>
          <w:rFonts w:ascii="Times New Roman" w:hAnsi="Times New Roman"/>
          <w:sz w:val="24"/>
          <w:szCs w:val="24"/>
          <w:lang w:val="en-GB"/>
        </w:rPr>
        <w:t xml:space="preserve"> </w:t>
      </w:r>
    </w:p>
    <w:p w:rsidR="007479DA" w:rsidRPr="003D4D8B" w:rsidRDefault="007479DA" w:rsidP="007479DA">
      <w:pPr>
        <w:pStyle w:val="ListParagraph"/>
        <w:numPr>
          <w:ilvl w:val="0"/>
          <w:numId w:val="6"/>
        </w:numPr>
        <w:rPr>
          <w:rFonts w:ascii="Times New Roman" w:hAnsi="Times New Roman"/>
          <w:sz w:val="24"/>
          <w:szCs w:val="24"/>
          <w:lang w:val="en-GB"/>
        </w:rPr>
      </w:pPr>
      <w:r w:rsidRPr="003D4D8B">
        <w:rPr>
          <w:rFonts w:ascii="Times New Roman" w:hAnsi="Times New Roman"/>
          <w:sz w:val="24"/>
          <w:szCs w:val="24"/>
          <w:lang w:val="en-GB"/>
        </w:rPr>
        <w:t xml:space="preserve">Simplified technical RF design </w:t>
      </w:r>
    </w:p>
    <w:p w:rsidR="007479DA" w:rsidRPr="003D4D8B" w:rsidRDefault="007479DA" w:rsidP="007479DA">
      <w:pPr>
        <w:pStyle w:val="ListParagraph"/>
        <w:numPr>
          <w:ilvl w:val="0"/>
          <w:numId w:val="6"/>
        </w:numPr>
        <w:rPr>
          <w:rFonts w:ascii="Times New Roman" w:hAnsi="Times New Roman"/>
          <w:sz w:val="24"/>
          <w:szCs w:val="24"/>
          <w:lang w:val="en-GB"/>
        </w:rPr>
      </w:pPr>
      <w:r w:rsidRPr="003D4D8B">
        <w:rPr>
          <w:rFonts w:ascii="Times New Roman" w:hAnsi="Times New Roman"/>
          <w:sz w:val="24"/>
          <w:szCs w:val="24"/>
          <w:lang w:val="en-GB"/>
        </w:rPr>
        <w:t>Benefitting from economies of scale, even for a specialized applications such as PPDR</w:t>
      </w:r>
    </w:p>
    <w:p w:rsidR="007479DA" w:rsidRPr="003D4D8B" w:rsidRDefault="007479DA" w:rsidP="007479DA">
      <w:pPr>
        <w:pStyle w:val="Heading1"/>
        <w:rPr>
          <w:szCs w:val="24"/>
        </w:rPr>
      </w:pPr>
      <w:r w:rsidRPr="003D4D8B">
        <w:rPr>
          <w:szCs w:val="24"/>
        </w:rPr>
        <w:t>8</w:t>
      </w:r>
      <w:r w:rsidRPr="003D4D8B">
        <w:rPr>
          <w:szCs w:val="24"/>
        </w:rPr>
        <w:tab/>
        <w:t>Acronyms, abbreviations</w:t>
      </w:r>
    </w:p>
    <w:p w:rsidR="00CD7AA5" w:rsidRDefault="007479DA" w:rsidP="007479DA">
      <w:pPr>
        <w:rPr>
          <w:sz w:val="24"/>
          <w:szCs w:val="24"/>
        </w:rPr>
      </w:pPr>
      <w:r w:rsidRPr="003D4D8B">
        <w:rPr>
          <w:sz w:val="24"/>
          <w:szCs w:val="24"/>
        </w:rPr>
        <w:t>[To be developed, as needed.]</w:t>
      </w:r>
    </w:p>
    <w:p w:rsidR="00326D3E" w:rsidRDefault="00326D3E" w:rsidP="007479DA">
      <w:pPr>
        <w:rPr>
          <w:sz w:val="24"/>
          <w:szCs w:val="24"/>
        </w:rPr>
      </w:pPr>
    </w:p>
    <w:p w:rsidR="00CD7AA5" w:rsidRPr="003D4D8B" w:rsidRDefault="00CD7AA5" w:rsidP="007479DA">
      <w:pPr>
        <w:rPr>
          <w:sz w:val="24"/>
          <w:szCs w:val="24"/>
        </w:rPr>
      </w:pPr>
    </w:p>
    <w:p w:rsidR="007479DA" w:rsidRPr="003D4D8B" w:rsidRDefault="007479DA" w:rsidP="007479DA">
      <w:pPr>
        <w:pStyle w:val="Heading1"/>
        <w:rPr>
          <w:szCs w:val="24"/>
        </w:rPr>
      </w:pPr>
      <w:r w:rsidRPr="003D4D8B">
        <w:rPr>
          <w:szCs w:val="24"/>
        </w:rPr>
        <w:t>9</w:t>
      </w:r>
      <w:r w:rsidRPr="003D4D8B">
        <w:rPr>
          <w:szCs w:val="24"/>
        </w:rPr>
        <w:tab/>
        <w:t>References</w:t>
      </w:r>
    </w:p>
    <w:p w:rsidR="007479DA" w:rsidRPr="003D4D8B" w:rsidRDefault="007479DA" w:rsidP="007479DA">
      <w:pPr>
        <w:rPr>
          <w:sz w:val="24"/>
          <w:szCs w:val="24"/>
        </w:rPr>
      </w:pPr>
      <w:r w:rsidRPr="003D4D8B">
        <w:rPr>
          <w:sz w:val="24"/>
          <w:szCs w:val="24"/>
        </w:rPr>
        <w:t>[To be developed, as needed.]</w:t>
      </w:r>
    </w:p>
    <w:p w:rsidR="007479DA" w:rsidRDefault="007479DA" w:rsidP="007479DA">
      <w:pPr>
        <w:rPr>
          <w:lang w:val="en-US" w:eastAsia="zh-CN"/>
        </w:rPr>
      </w:pPr>
    </w:p>
    <w:p w:rsidR="007479DA" w:rsidRDefault="007479DA" w:rsidP="007479DA">
      <w:pPr>
        <w:rPr>
          <w:lang w:val="en-US" w:eastAsia="zh-CN"/>
        </w:rPr>
      </w:pPr>
    </w:p>
    <w:p w:rsidR="007479DA" w:rsidRDefault="007479DA" w:rsidP="007479DA">
      <w:pPr>
        <w:rPr>
          <w:lang w:val="en-US" w:eastAsia="zh-CN"/>
        </w:rPr>
      </w:pPr>
    </w:p>
    <w:p w:rsidR="007479DA" w:rsidRPr="002D2A90" w:rsidRDefault="007479DA" w:rsidP="007479DA">
      <w:pPr>
        <w:jc w:val="center"/>
        <w:rPr>
          <w:lang w:val="en-US" w:eastAsia="zh-CN"/>
        </w:rPr>
      </w:pPr>
      <w:r>
        <w:rPr>
          <w:lang w:val="en-US" w:eastAsia="zh-CN"/>
        </w:rPr>
        <w:t>________________</w:t>
      </w:r>
    </w:p>
    <w:p w:rsidR="00677713" w:rsidRPr="006348D4" w:rsidRDefault="00677713" w:rsidP="003B7A5A">
      <w:pPr>
        <w:spacing w:before="240"/>
        <w:rPr>
          <w:rFonts w:eastAsia="MS Mincho"/>
          <w:sz w:val="24"/>
          <w:szCs w:val="24"/>
        </w:rPr>
      </w:pPr>
    </w:p>
    <w:p w:rsidR="00677713" w:rsidRPr="006348D4" w:rsidRDefault="00677713" w:rsidP="00677713">
      <w:pPr>
        <w:spacing w:after="120"/>
        <w:ind w:left="993" w:hanging="993"/>
        <w:rPr>
          <w:sz w:val="24"/>
          <w:szCs w:val="24"/>
        </w:rPr>
      </w:pPr>
    </w:p>
    <w:p w:rsidR="00181501" w:rsidRPr="003B59E3" w:rsidRDefault="00181501" w:rsidP="003B59E3">
      <w:pPr>
        <w:spacing w:before="240"/>
        <w:rPr>
          <w:rFonts w:eastAsia="MS Mincho"/>
          <w:sz w:val="24"/>
          <w:szCs w:val="24"/>
        </w:rPr>
      </w:pPr>
    </w:p>
    <w:sectPr w:rsidR="00181501" w:rsidRPr="003B59E3" w:rsidSect="0025408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A15" w:rsidRDefault="00E26A15">
      <w:r>
        <w:separator/>
      </w:r>
    </w:p>
  </w:endnote>
  <w:endnote w:type="continuationSeparator" w:id="0">
    <w:p w:rsidR="00E26A15" w:rsidRDefault="00E26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A15" w:rsidRDefault="00E26A15">
      <w:r>
        <w:separator/>
      </w:r>
    </w:p>
  </w:footnote>
  <w:footnote w:type="continuationSeparator" w:id="0">
    <w:p w:rsidR="00E26A15" w:rsidRDefault="00E26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5A6E"/>
    <w:multiLevelType w:val="hybridMultilevel"/>
    <w:tmpl w:val="8A22C466"/>
    <w:lvl w:ilvl="0" w:tplc="FA0E6C48">
      <w:start w:val="6"/>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92C3358"/>
    <w:multiLevelType w:val="hybridMultilevel"/>
    <w:tmpl w:val="05C251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7123C08"/>
    <w:multiLevelType w:val="hybridMultilevel"/>
    <w:tmpl w:val="5B2E5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59A6DAE"/>
    <w:multiLevelType w:val="hybridMultilevel"/>
    <w:tmpl w:val="F93E5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num>
  <w:num w:numId="6">
    <w:abstractNumId w:val="7"/>
  </w:num>
  <w:num w:numId="7">
    <w:abstractNumId w:val="0"/>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D371D"/>
    <w:rsid w:val="000025EC"/>
    <w:rsid w:val="00012524"/>
    <w:rsid w:val="00053A9C"/>
    <w:rsid w:val="00062956"/>
    <w:rsid w:val="000863AA"/>
    <w:rsid w:val="000B003C"/>
    <w:rsid w:val="000B2D18"/>
    <w:rsid w:val="00114326"/>
    <w:rsid w:val="00123EF8"/>
    <w:rsid w:val="0012441E"/>
    <w:rsid w:val="001421BA"/>
    <w:rsid w:val="0014322B"/>
    <w:rsid w:val="0016684A"/>
    <w:rsid w:val="00174457"/>
    <w:rsid w:val="00181501"/>
    <w:rsid w:val="0018610D"/>
    <w:rsid w:val="001C651A"/>
    <w:rsid w:val="001D41B8"/>
    <w:rsid w:val="00213833"/>
    <w:rsid w:val="002454B0"/>
    <w:rsid w:val="00254081"/>
    <w:rsid w:val="0027161C"/>
    <w:rsid w:val="00275C6F"/>
    <w:rsid w:val="002807A5"/>
    <w:rsid w:val="00282EA3"/>
    <w:rsid w:val="002834CC"/>
    <w:rsid w:val="002E5BE2"/>
    <w:rsid w:val="002F6E32"/>
    <w:rsid w:val="00311A41"/>
    <w:rsid w:val="003207BE"/>
    <w:rsid w:val="00326D3E"/>
    <w:rsid w:val="00334E09"/>
    <w:rsid w:val="00355AA0"/>
    <w:rsid w:val="0036482D"/>
    <w:rsid w:val="00366557"/>
    <w:rsid w:val="003B4CBE"/>
    <w:rsid w:val="003B59E3"/>
    <w:rsid w:val="003B7A5A"/>
    <w:rsid w:val="003D4D8B"/>
    <w:rsid w:val="00403EE1"/>
    <w:rsid w:val="00405C1F"/>
    <w:rsid w:val="004348CA"/>
    <w:rsid w:val="00470664"/>
    <w:rsid w:val="004A2937"/>
    <w:rsid w:val="004A7700"/>
    <w:rsid w:val="004F6595"/>
    <w:rsid w:val="004F680D"/>
    <w:rsid w:val="00501FD8"/>
    <w:rsid w:val="005A6076"/>
    <w:rsid w:val="005B3E49"/>
    <w:rsid w:val="005D6D34"/>
    <w:rsid w:val="006348D4"/>
    <w:rsid w:val="00637523"/>
    <w:rsid w:val="006502B6"/>
    <w:rsid w:val="00677713"/>
    <w:rsid w:val="006905BF"/>
    <w:rsid w:val="00706FEB"/>
    <w:rsid w:val="007369F2"/>
    <w:rsid w:val="007442C4"/>
    <w:rsid w:val="007479DA"/>
    <w:rsid w:val="00767E85"/>
    <w:rsid w:val="00795C67"/>
    <w:rsid w:val="007A0EB6"/>
    <w:rsid w:val="007A3793"/>
    <w:rsid w:val="007C51AE"/>
    <w:rsid w:val="007D5C26"/>
    <w:rsid w:val="007F318D"/>
    <w:rsid w:val="007F6CDA"/>
    <w:rsid w:val="00812494"/>
    <w:rsid w:val="00892E82"/>
    <w:rsid w:val="008B490F"/>
    <w:rsid w:val="008C74D2"/>
    <w:rsid w:val="008E2C2A"/>
    <w:rsid w:val="00900102"/>
    <w:rsid w:val="00900434"/>
    <w:rsid w:val="00907269"/>
    <w:rsid w:val="009133B4"/>
    <w:rsid w:val="009162A9"/>
    <w:rsid w:val="00921140"/>
    <w:rsid w:val="0094647C"/>
    <w:rsid w:val="009738C6"/>
    <w:rsid w:val="00993561"/>
    <w:rsid w:val="009969BE"/>
    <w:rsid w:val="009D0BEF"/>
    <w:rsid w:val="009E4E20"/>
    <w:rsid w:val="00A148AC"/>
    <w:rsid w:val="00A2635E"/>
    <w:rsid w:val="00A35182"/>
    <w:rsid w:val="00A46E37"/>
    <w:rsid w:val="00A56F0F"/>
    <w:rsid w:val="00AD371D"/>
    <w:rsid w:val="00AE00FC"/>
    <w:rsid w:val="00AE1EAD"/>
    <w:rsid w:val="00B35D83"/>
    <w:rsid w:val="00B66A92"/>
    <w:rsid w:val="00B76BE1"/>
    <w:rsid w:val="00B774A3"/>
    <w:rsid w:val="00BD1ACB"/>
    <w:rsid w:val="00BF589A"/>
    <w:rsid w:val="00C10A67"/>
    <w:rsid w:val="00C13335"/>
    <w:rsid w:val="00C16AFB"/>
    <w:rsid w:val="00C51EDC"/>
    <w:rsid w:val="00CB2EF4"/>
    <w:rsid w:val="00CB664F"/>
    <w:rsid w:val="00CC4834"/>
    <w:rsid w:val="00CD7AA5"/>
    <w:rsid w:val="00D000D9"/>
    <w:rsid w:val="00D11DE2"/>
    <w:rsid w:val="00D34F12"/>
    <w:rsid w:val="00D50B11"/>
    <w:rsid w:val="00DC2134"/>
    <w:rsid w:val="00DC723F"/>
    <w:rsid w:val="00DE2303"/>
    <w:rsid w:val="00E243ED"/>
    <w:rsid w:val="00E255A4"/>
    <w:rsid w:val="00E26A15"/>
    <w:rsid w:val="00E43DCF"/>
    <w:rsid w:val="00E44C98"/>
    <w:rsid w:val="00E92626"/>
    <w:rsid w:val="00EA18D8"/>
    <w:rsid w:val="00EC3649"/>
    <w:rsid w:val="00EF5FDD"/>
    <w:rsid w:val="00F16C56"/>
    <w:rsid w:val="00F21985"/>
    <w:rsid w:val="00F22562"/>
    <w:rsid w:val="00F228B2"/>
    <w:rsid w:val="00F83AE8"/>
    <w:rsid w:val="00F93042"/>
    <w:rsid w:val="00F95343"/>
    <w:rsid w:val="00FB7E6F"/>
    <w:rsid w:val="00FC4D4C"/>
    <w:rsid w:val="00FE308E"/>
    <w:rsid w:val="00FE752F"/>
    <w:rsid w:val="00FF113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4081"/>
    <w:rPr>
      <w:lang w:val="en-GB"/>
    </w:rPr>
  </w:style>
  <w:style w:type="paragraph" w:styleId="Heading1">
    <w:name w:val="heading 1"/>
    <w:aliases w:val="H1,h1"/>
    <w:basedOn w:val="Normal"/>
    <w:next w:val="Normal"/>
    <w:link w:val="Heading1Char"/>
    <w:qFormat/>
    <w:rsid w:val="0025408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254081"/>
    <w:pPr>
      <w:keepNext/>
      <w:ind w:right="284"/>
      <w:outlineLvl w:val="1"/>
    </w:pPr>
    <w:rPr>
      <w:rFonts w:ascii="Arial" w:hAnsi="Arial"/>
      <w:b/>
      <w:sz w:val="24"/>
    </w:rPr>
  </w:style>
  <w:style w:type="paragraph" w:styleId="Heading3">
    <w:name w:val="heading 3"/>
    <w:aliases w:val="H3,h3"/>
    <w:basedOn w:val="Normal"/>
    <w:next w:val="Normal"/>
    <w:qFormat/>
    <w:rsid w:val="00254081"/>
    <w:pPr>
      <w:keepNext/>
      <w:outlineLvl w:val="2"/>
    </w:pPr>
    <w:rPr>
      <w:sz w:val="24"/>
    </w:rPr>
  </w:style>
  <w:style w:type="paragraph" w:styleId="Heading4">
    <w:name w:val="heading 4"/>
    <w:aliases w:val="h4"/>
    <w:basedOn w:val="Normal"/>
    <w:next w:val="Normal"/>
    <w:qFormat/>
    <w:rsid w:val="00254081"/>
    <w:pPr>
      <w:keepNext/>
      <w:tabs>
        <w:tab w:val="left" w:pos="2694"/>
      </w:tabs>
      <w:ind w:left="708"/>
      <w:outlineLvl w:val="3"/>
    </w:pPr>
    <w:rPr>
      <w:rFonts w:ascii="Arial" w:hAnsi="Arial"/>
      <w:b/>
    </w:rPr>
  </w:style>
  <w:style w:type="paragraph" w:styleId="Heading5">
    <w:name w:val="heading 5"/>
    <w:aliases w:val="h5"/>
    <w:basedOn w:val="Normal"/>
    <w:next w:val="Normal"/>
    <w:qFormat/>
    <w:rsid w:val="00254081"/>
    <w:pPr>
      <w:keepNext/>
      <w:jc w:val="center"/>
      <w:outlineLvl w:val="4"/>
    </w:pPr>
    <w:rPr>
      <w:rFonts w:ascii="Arial" w:hAnsi="Arial"/>
      <w:b/>
      <w:sz w:val="24"/>
    </w:rPr>
  </w:style>
  <w:style w:type="paragraph" w:styleId="Heading6">
    <w:name w:val="heading 6"/>
    <w:aliases w:val="h6"/>
    <w:basedOn w:val="Normal"/>
    <w:next w:val="Normal"/>
    <w:qFormat/>
    <w:rsid w:val="00254081"/>
    <w:pPr>
      <w:keepNext/>
      <w:outlineLvl w:val="5"/>
    </w:pPr>
    <w:rPr>
      <w:rFonts w:ascii="Arial" w:hAnsi="Arial"/>
      <w:b/>
      <w:color w:val="C0C0C0"/>
      <w:sz w:val="24"/>
    </w:rPr>
  </w:style>
  <w:style w:type="paragraph" w:styleId="Heading7">
    <w:name w:val="heading 7"/>
    <w:basedOn w:val="Normal"/>
    <w:next w:val="Normal"/>
    <w:qFormat/>
    <w:rsid w:val="00254081"/>
    <w:pPr>
      <w:keepNext/>
      <w:tabs>
        <w:tab w:val="left" w:pos="2694"/>
      </w:tabs>
      <w:ind w:left="708"/>
      <w:outlineLvl w:val="6"/>
    </w:pPr>
    <w:rPr>
      <w:rFonts w:ascii="Arial" w:hAnsi="Arial"/>
      <w:b/>
      <w:color w:val="0000FF"/>
    </w:rPr>
  </w:style>
  <w:style w:type="paragraph" w:styleId="Heading8">
    <w:name w:val="heading 8"/>
    <w:basedOn w:val="Normal"/>
    <w:next w:val="Normal"/>
    <w:qFormat/>
    <w:rsid w:val="00254081"/>
    <w:pPr>
      <w:keepNext/>
      <w:spacing w:after="120"/>
      <w:ind w:left="1985" w:hanging="1985"/>
      <w:outlineLvl w:val="7"/>
    </w:pPr>
    <w:rPr>
      <w:rFonts w:ascii="Arial" w:hAnsi="Arial"/>
      <w:b/>
      <w:sz w:val="22"/>
    </w:rPr>
  </w:style>
  <w:style w:type="paragraph" w:styleId="Heading9">
    <w:name w:val="heading 9"/>
    <w:basedOn w:val="Normal"/>
    <w:next w:val="Normal"/>
    <w:qFormat/>
    <w:rsid w:val="0025408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54081"/>
    <w:pPr>
      <w:tabs>
        <w:tab w:val="center" w:pos="4153"/>
        <w:tab w:val="right" w:pos="8306"/>
      </w:tabs>
    </w:pPr>
  </w:style>
  <w:style w:type="paragraph" w:styleId="Footer">
    <w:name w:val="footer"/>
    <w:basedOn w:val="Normal"/>
    <w:rsid w:val="00254081"/>
    <w:pPr>
      <w:tabs>
        <w:tab w:val="center" w:pos="4153"/>
        <w:tab w:val="right" w:pos="8306"/>
      </w:tabs>
    </w:pPr>
  </w:style>
  <w:style w:type="paragraph" w:styleId="CommentText">
    <w:name w:val="annotation text"/>
    <w:basedOn w:val="Normal"/>
    <w:semiHidden/>
    <w:rsid w:val="0025408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54081"/>
  </w:style>
  <w:style w:type="paragraph" w:customStyle="1" w:styleId="B1">
    <w:name w:val="B1"/>
    <w:basedOn w:val="Normal"/>
    <w:rsid w:val="00254081"/>
    <w:pPr>
      <w:ind w:left="567" w:hanging="567"/>
      <w:jc w:val="both"/>
    </w:pPr>
    <w:rPr>
      <w:rFonts w:ascii="Arial" w:hAnsi="Arial"/>
    </w:rPr>
  </w:style>
  <w:style w:type="paragraph" w:customStyle="1" w:styleId="00BodyText">
    <w:name w:val="00 BodyText"/>
    <w:basedOn w:val="Normal"/>
    <w:rsid w:val="00254081"/>
    <w:pPr>
      <w:spacing w:after="220"/>
    </w:pPr>
    <w:rPr>
      <w:rFonts w:ascii="Arial" w:hAnsi="Arial"/>
      <w:sz w:val="22"/>
      <w:lang w:val="en-US"/>
    </w:rPr>
  </w:style>
  <w:style w:type="paragraph" w:customStyle="1" w:styleId="a">
    <w:name w:val="??"/>
    <w:rsid w:val="00254081"/>
    <w:pPr>
      <w:widowControl w:val="0"/>
    </w:pPr>
  </w:style>
  <w:style w:type="paragraph" w:customStyle="1" w:styleId="2">
    <w:name w:val="??? 2"/>
    <w:basedOn w:val="a"/>
    <w:next w:val="a"/>
    <w:rsid w:val="00254081"/>
    <w:pPr>
      <w:keepNext/>
    </w:pPr>
    <w:rPr>
      <w:rFonts w:ascii="Arial" w:hAnsi="Arial"/>
      <w:b/>
      <w:sz w:val="24"/>
    </w:rPr>
  </w:style>
  <w:style w:type="character" w:styleId="CommentReference">
    <w:name w:val="annotation reference"/>
    <w:semiHidden/>
    <w:rsid w:val="00254081"/>
    <w:rPr>
      <w:sz w:val="16"/>
    </w:rPr>
  </w:style>
  <w:style w:type="paragraph" w:customStyle="1" w:styleId="DECISION">
    <w:name w:val="DECISION"/>
    <w:basedOn w:val="Normal"/>
    <w:rsid w:val="0025408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5408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5408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54081"/>
    <w:pPr>
      <w:numPr>
        <w:numId w:val="4"/>
      </w:numPr>
      <w:tabs>
        <w:tab w:val="num" w:pos="1125"/>
      </w:tabs>
    </w:pPr>
    <w:rPr>
      <w:color w:val="FF0000"/>
    </w:rPr>
  </w:style>
  <w:style w:type="paragraph" w:styleId="BodyText">
    <w:name w:val="Body Text"/>
    <w:basedOn w:val="Normal"/>
    <w:rsid w:val="00254081"/>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rsid w:val="007F318D"/>
    <w:rPr>
      <w:color w:val="0000FF"/>
      <w:u w:val="single"/>
    </w:rPr>
  </w:style>
  <w:style w:type="character" w:styleId="FootnoteReference">
    <w:name w:val="footnote reference"/>
    <w:aliases w:val="Appel note de bas de p"/>
    <w:rsid w:val="003B59E3"/>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3B59E3"/>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3B59E3"/>
    <w:rPr>
      <w:rFonts w:eastAsia="MS Mincho"/>
      <w:sz w:val="24"/>
      <w:lang w:val="en-GB" w:eastAsia="en-US"/>
    </w:rPr>
  </w:style>
  <w:style w:type="paragraph" w:customStyle="1" w:styleId="Rec">
    <w:name w:val="Rec_#"/>
    <w:basedOn w:val="Normal"/>
    <w:next w:val="Normal"/>
    <w:rsid w:val="003B59E3"/>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3B59E3"/>
    <w:pPr>
      <w:spacing w:before="720"/>
      <w:jc w:val="center"/>
    </w:pPr>
    <w:rPr>
      <w:rFonts w:eastAsia="MS Mincho"/>
      <w:b/>
      <w:sz w:val="24"/>
    </w:rPr>
  </w:style>
  <w:style w:type="character" w:customStyle="1" w:styleId="Heading1Char">
    <w:name w:val="Heading 1 Char"/>
    <w:aliases w:val="H1 Char,h1 Char"/>
    <w:link w:val="Heading1"/>
    <w:rsid w:val="00F83AE8"/>
    <w:rPr>
      <w:rFonts w:ascii="Arial" w:hAnsi="Arial"/>
      <w:b/>
      <w:sz w:val="24"/>
      <w:lang w:val="en-GB" w:eastAsia="en-US"/>
    </w:rPr>
  </w:style>
  <w:style w:type="paragraph" w:styleId="ListParagraph">
    <w:name w:val="List Paragraph"/>
    <w:basedOn w:val="Normal"/>
    <w:link w:val="ListParagraphChar"/>
    <w:uiPriority w:val="34"/>
    <w:qFormat/>
    <w:rsid w:val="00F83AE8"/>
    <w:pPr>
      <w:spacing w:after="200" w:line="276" w:lineRule="auto"/>
      <w:ind w:left="720"/>
      <w:contextualSpacing/>
    </w:pPr>
    <w:rPr>
      <w:rFonts w:ascii="Calibri" w:eastAsia="Calibri" w:hAnsi="Calibri"/>
      <w:sz w:val="22"/>
      <w:szCs w:val="22"/>
      <w:lang w:val="en-US"/>
    </w:rPr>
  </w:style>
  <w:style w:type="character" w:styleId="FollowedHyperlink">
    <w:name w:val="FollowedHyperlink"/>
    <w:rsid w:val="00012524"/>
    <w:rPr>
      <w:color w:val="800080"/>
      <w:u w:val="single"/>
    </w:rPr>
  </w:style>
  <w:style w:type="paragraph" w:customStyle="1" w:styleId="enumlev1">
    <w:name w:val="enumlev1"/>
    <w:basedOn w:val="Normal"/>
    <w:rsid w:val="00012524"/>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
    <w:name w:val="Header Char"/>
    <w:basedOn w:val="DefaultParagraphFont"/>
    <w:link w:val="Header"/>
    <w:locked/>
    <w:rsid w:val="0094647C"/>
    <w:rPr>
      <w:lang w:eastAsia="en-US"/>
    </w:rPr>
  </w:style>
  <w:style w:type="character" w:customStyle="1" w:styleId="ListParagraphChar">
    <w:name w:val="List Paragraph Char"/>
    <w:basedOn w:val="DefaultParagraphFont"/>
    <w:link w:val="ListParagraph"/>
    <w:uiPriority w:val="99"/>
    <w:locked/>
    <w:rsid w:val="007479DA"/>
    <w:rPr>
      <w:rFonts w:ascii="Calibri" w:eastAsia="Calibri" w:hAnsi="Calibri"/>
      <w:sz w:val="22"/>
      <w:szCs w:val="22"/>
    </w:rPr>
  </w:style>
  <w:style w:type="character" w:styleId="Emphasis">
    <w:name w:val="Emphasis"/>
    <w:basedOn w:val="DefaultParagraphFont"/>
    <w:qFormat/>
    <w:rsid w:val="007479DA"/>
    <w:rPr>
      <w:i/>
      <w:iCs/>
    </w:rPr>
  </w:style>
  <w:style w:type="paragraph" w:customStyle="1" w:styleId="AppendixNo">
    <w:name w:val="Appendix_No"/>
    <w:basedOn w:val="Normal"/>
    <w:next w:val="Normal"/>
    <w:rsid w:val="00F228B2"/>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RepNo">
    <w:name w:val="Rep_No"/>
    <w:basedOn w:val="Normal"/>
    <w:next w:val="Reptitle"/>
    <w:rsid w:val="00355AA0"/>
    <w:pPr>
      <w:keepNext/>
      <w:keepLines/>
      <w:tabs>
        <w:tab w:val="left" w:pos="1134"/>
        <w:tab w:val="left" w:pos="1871"/>
        <w:tab w:val="left" w:pos="2268"/>
      </w:tabs>
      <w:overflowPunct w:val="0"/>
      <w:autoSpaceDE w:val="0"/>
      <w:autoSpaceDN w:val="0"/>
      <w:adjustRightInd w:val="0"/>
      <w:spacing w:before="480"/>
      <w:jc w:val="center"/>
      <w:textAlignment w:val="baseline"/>
    </w:pPr>
    <w:rPr>
      <w:rFonts w:eastAsia="Batang"/>
      <w:caps/>
      <w:sz w:val="28"/>
    </w:rPr>
  </w:style>
  <w:style w:type="paragraph" w:customStyle="1" w:styleId="Reptitle">
    <w:name w:val="Rep_title"/>
    <w:basedOn w:val="Normal"/>
    <w:next w:val="Repref"/>
    <w:rsid w:val="00355AA0"/>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Bold" w:eastAsia="Batang" w:hAnsi="Times New Roman Bold"/>
      <w:b/>
      <w:sz w:val="28"/>
    </w:rPr>
  </w:style>
  <w:style w:type="paragraph" w:customStyle="1" w:styleId="Repref">
    <w:name w:val="Rep_ref"/>
    <w:basedOn w:val="Normal"/>
    <w:next w:val="Normal"/>
    <w:rsid w:val="00355AA0"/>
    <w:pPr>
      <w:keepNext/>
      <w:keepLines/>
      <w:tabs>
        <w:tab w:val="left" w:pos="1134"/>
        <w:tab w:val="left" w:pos="1871"/>
        <w:tab w:val="left" w:pos="2268"/>
      </w:tabs>
      <w:overflowPunct w:val="0"/>
      <w:autoSpaceDE w:val="0"/>
      <w:autoSpaceDN w:val="0"/>
      <w:adjustRightInd w:val="0"/>
      <w:spacing w:before="120"/>
      <w:jc w:val="center"/>
      <w:textAlignment w:val="baseline"/>
    </w:pPr>
    <w:rPr>
      <w:rFonts w:eastAsia="Batang"/>
      <w:sz w:val="24"/>
    </w:rPr>
  </w:style>
</w:styles>
</file>

<file path=word/webSettings.xml><?xml version="1.0" encoding="utf-8"?>
<w:webSettings xmlns:r="http://schemas.openxmlformats.org/officeDocument/2006/relationships" xmlns:w="http://schemas.openxmlformats.org/wordprocessingml/2006/main">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434449966">
      <w:bodyDiv w:val="1"/>
      <w:marLeft w:val="0"/>
      <w:marRight w:val="0"/>
      <w:marTop w:val="0"/>
      <w:marBottom w:val="0"/>
      <w:divBdr>
        <w:top w:val="none" w:sz="0" w:space="0" w:color="auto"/>
        <w:left w:val="none" w:sz="0" w:space="0" w:color="auto"/>
        <w:bottom w:val="none" w:sz="0" w:space="0" w:color="auto"/>
        <w:right w:val="none" w:sz="0" w:space="0" w:color="auto"/>
      </w:divBdr>
    </w:div>
    <w:div w:id="164773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dgar.fernandes@motorolasolution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1520</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letter to ITU</vt:lpstr>
    </vt:vector>
  </TitlesOfParts>
  <Company>3GPP</Company>
  <LinksUpToDate>false</LinksUpToDate>
  <CharactersWithSpaces>10170</CharactersWithSpaces>
  <SharedDoc>false</SharedDoc>
  <HLinks>
    <vt:vector size="12" baseType="variant">
      <vt:variant>
        <vt:i4>3866650</vt:i4>
      </vt:variant>
      <vt:variant>
        <vt:i4>0</vt:i4>
      </vt:variant>
      <vt:variant>
        <vt:i4>0</vt:i4>
      </vt:variant>
      <vt:variant>
        <vt:i4>5</vt:i4>
      </vt:variant>
      <vt:variant>
        <vt:lpwstr>http://www.itu.int/dms_pub/itu-r/oth/0A/06/R0A0600001A0001MSWE.docx</vt:lpwstr>
      </vt:variant>
      <vt:variant>
        <vt:lpwstr/>
      </vt:variant>
      <vt:variant>
        <vt:i4>5636112</vt:i4>
      </vt:variant>
      <vt:variant>
        <vt:i4>0</vt:i4>
      </vt:variant>
      <vt:variant>
        <vt:i4>0</vt:i4>
      </vt:variant>
      <vt:variant>
        <vt:i4>5</vt:i4>
      </vt:variant>
      <vt:variant>
        <vt:lpwstr>ftp://ftp.3gpp.org/Information/Working_Procedures/3GPP_WP.zip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dc:title>
  <dc:subject/>
  <dc:creator>Joern Krause</dc:creator>
  <cp:keywords/>
  <cp:lastModifiedBy>KXDP48</cp:lastModifiedBy>
  <cp:revision>4</cp:revision>
  <cp:lastPrinted>2012-04-19T14:09:00Z</cp:lastPrinted>
  <dcterms:created xsi:type="dcterms:W3CDTF">2012-11-13T21:27:00Z</dcterms:created>
  <dcterms:modified xsi:type="dcterms:W3CDTF">2012-11-15T22:03:00Z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-741152712</vt:i4>
  </property>
  <property fmtid="{D5CDD505-2E9C-101B-9397-08002B2CF9AE}" pid="3" name="_NewReviewCycle">
    <vt:lpwstr/>
  </property>
  <property fmtid="{D5CDD505-2E9C-101B-9397-08002B2CF9AE}" pid="4" name="_EmailSubject">
    <vt:lpwstr>For the LS back to 5D</vt:lpwstr>
  </property>
  <property fmtid="{D5CDD505-2E9C-101B-9397-08002B2CF9AE}" pid="5" name="_AuthorEmail">
    <vt:lpwstr>Steffen.Ring@motorolasolutions.com</vt:lpwstr>
  </property>
  <property fmtid="{D5CDD505-2E9C-101B-9397-08002B2CF9AE}" pid="6" name="_AuthorEmailDisplayName">
    <vt:lpwstr>Ring Steffen-TCW111</vt:lpwstr>
  </property>
  <property fmtid="{D5CDD505-2E9C-101B-9397-08002B2CF9AE}" pid="7" name="_ReviewingToolsShownOnce">
    <vt:lpwstr/>
  </property>
</Properties>
</file>